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2633E" w14:textId="77777777" w:rsidR="00AE46A8" w:rsidRDefault="00AE46A8" w:rsidP="001677D5">
      <w:pPr>
        <w:pStyle w:val="a3"/>
        <w:ind w:right="298" w:firstLine="851"/>
        <w:jc w:val="center"/>
        <w:rPr>
          <w:b/>
          <w:sz w:val="24"/>
          <w:szCs w:val="24"/>
          <w:lang w:val="ru-RU"/>
        </w:rPr>
      </w:pPr>
      <w:r w:rsidRPr="00D152FE">
        <w:rPr>
          <w:b/>
          <w:sz w:val="24"/>
          <w:szCs w:val="24"/>
          <w:lang w:val="ru-RU"/>
        </w:rPr>
        <w:t xml:space="preserve">СРАВНИТЕЛЬНАЯ ТАБЛИЦА </w:t>
      </w:r>
    </w:p>
    <w:p w14:paraId="699B6FD4" w14:textId="377DA226" w:rsidR="001677D5" w:rsidRPr="00D152FE" w:rsidRDefault="001677D5" w:rsidP="001677D5">
      <w:pPr>
        <w:pStyle w:val="a3"/>
        <w:ind w:right="298" w:firstLine="851"/>
        <w:jc w:val="center"/>
        <w:rPr>
          <w:b/>
          <w:sz w:val="24"/>
          <w:szCs w:val="24"/>
          <w:lang w:val="ru-RU"/>
        </w:rPr>
      </w:pPr>
      <w:r w:rsidRPr="00D152FE">
        <w:rPr>
          <w:b/>
          <w:sz w:val="24"/>
          <w:szCs w:val="24"/>
          <w:lang w:val="ru-RU"/>
        </w:rPr>
        <w:t>к проекту Закона Кыргызской Республики</w:t>
      </w:r>
    </w:p>
    <w:p w14:paraId="0B1DF7B4" w14:textId="77777777" w:rsidR="001677D5" w:rsidRPr="00D152FE" w:rsidRDefault="001677D5" w:rsidP="001677D5">
      <w:pPr>
        <w:pStyle w:val="a3"/>
        <w:ind w:right="298" w:firstLine="851"/>
        <w:jc w:val="center"/>
        <w:rPr>
          <w:b/>
          <w:sz w:val="24"/>
          <w:szCs w:val="24"/>
          <w:lang w:val="ru-RU"/>
        </w:rPr>
      </w:pPr>
      <w:r w:rsidRPr="00D152FE">
        <w:rPr>
          <w:b/>
          <w:sz w:val="24"/>
          <w:szCs w:val="24"/>
          <w:lang w:val="ru-RU"/>
        </w:rPr>
        <w:t>«О внесении изменений в некоторые законодательные акты</w:t>
      </w:r>
    </w:p>
    <w:p w14:paraId="17B46625" w14:textId="77777777" w:rsidR="001677D5" w:rsidRPr="00D152FE" w:rsidRDefault="001677D5" w:rsidP="001677D5">
      <w:pPr>
        <w:pStyle w:val="a3"/>
        <w:ind w:right="298" w:firstLine="851"/>
        <w:jc w:val="center"/>
        <w:rPr>
          <w:b/>
          <w:sz w:val="24"/>
          <w:szCs w:val="24"/>
          <w:lang w:val="ru-RU"/>
        </w:rPr>
      </w:pPr>
      <w:r w:rsidRPr="00D152FE">
        <w:rPr>
          <w:b/>
          <w:sz w:val="24"/>
          <w:szCs w:val="24"/>
          <w:lang w:val="ru-RU"/>
        </w:rPr>
        <w:t>Кыргызской Республики по вопросам игорной деятельности»</w:t>
      </w:r>
    </w:p>
    <w:p w14:paraId="7EBF644B" w14:textId="77777777" w:rsidR="001677D5" w:rsidRPr="00D152FE" w:rsidRDefault="001677D5" w:rsidP="001677D5">
      <w:pPr>
        <w:pStyle w:val="a3"/>
        <w:ind w:right="298" w:firstLine="851"/>
        <w:jc w:val="center"/>
        <w:rPr>
          <w:b/>
          <w:sz w:val="24"/>
          <w:szCs w:val="24"/>
          <w:lang w:val="ru-RU"/>
        </w:rPr>
      </w:pPr>
    </w:p>
    <w:tbl>
      <w:tblPr>
        <w:tblStyle w:val="a4"/>
        <w:tblW w:w="0" w:type="auto"/>
        <w:tblLook w:val="04A0" w:firstRow="1" w:lastRow="0" w:firstColumn="1" w:lastColumn="0" w:noHBand="0" w:noVBand="1"/>
      </w:tblPr>
      <w:tblGrid>
        <w:gridCol w:w="7280"/>
        <w:gridCol w:w="16"/>
        <w:gridCol w:w="7264"/>
      </w:tblGrid>
      <w:tr w:rsidR="00D708F6" w:rsidRPr="00D152FE" w14:paraId="75F77E6B" w14:textId="77777777" w:rsidTr="004015C3">
        <w:tc>
          <w:tcPr>
            <w:tcW w:w="14560" w:type="dxa"/>
            <w:gridSpan w:val="3"/>
          </w:tcPr>
          <w:p w14:paraId="0F777CB2" w14:textId="46C8A3CD" w:rsidR="00D708F6" w:rsidRPr="00D152FE" w:rsidRDefault="00D708F6" w:rsidP="00D708F6">
            <w:pPr>
              <w:jc w:val="center"/>
              <w:rPr>
                <w:rFonts w:cs="Times New Roman"/>
                <w:b/>
                <w:szCs w:val="24"/>
              </w:rPr>
            </w:pPr>
            <w:r w:rsidRPr="00D152FE">
              <w:rPr>
                <w:rFonts w:cs="Times New Roman"/>
                <w:b/>
                <w:szCs w:val="24"/>
              </w:rPr>
              <w:t>Уголовный кодекс Кыргызской Республики</w:t>
            </w:r>
          </w:p>
        </w:tc>
      </w:tr>
      <w:tr w:rsidR="00D708F6" w:rsidRPr="00D152FE" w14:paraId="20302DE8" w14:textId="77777777" w:rsidTr="004015C3">
        <w:tc>
          <w:tcPr>
            <w:tcW w:w="7280" w:type="dxa"/>
          </w:tcPr>
          <w:p w14:paraId="1DE7F69D" w14:textId="2E24F357" w:rsidR="00D708F6" w:rsidRPr="00D708F6" w:rsidRDefault="00D708F6" w:rsidP="00D708F6">
            <w:pPr>
              <w:jc w:val="center"/>
              <w:rPr>
                <w:rFonts w:cs="Times New Roman"/>
                <w:b/>
                <w:bCs/>
                <w:szCs w:val="24"/>
              </w:rPr>
            </w:pPr>
            <w:r w:rsidRPr="00D708F6">
              <w:rPr>
                <w:rFonts w:cs="Times New Roman"/>
                <w:b/>
                <w:bCs/>
                <w:szCs w:val="24"/>
              </w:rPr>
              <w:t xml:space="preserve">Действующая редакция </w:t>
            </w:r>
          </w:p>
        </w:tc>
        <w:tc>
          <w:tcPr>
            <w:tcW w:w="7280" w:type="dxa"/>
            <w:gridSpan w:val="2"/>
          </w:tcPr>
          <w:p w14:paraId="66ECA984" w14:textId="6241F852" w:rsidR="00D708F6" w:rsidRPr="00D708F6" w:rsidRDefault="00D708F6" w:rsidP="00D708F6">
            <w:pPr>
              <w:jc w:val="center"/>
              <w:rPr>
                <w:rFonts w:cs="Times New Roman"/>
                <w:b/>
                <w:bCs/>
                <w:szCs w:val="24"/>
              </w:rPr>
            </w:pPr>
            <w:r w:rsidRPr="00D708F6">
              <w:rPr>
                <w:rFonts w:cs="Times New Roman"/>
                <w:b/>
                <w:bCs/>
                <w:szCs w:val="24"/>
              </w:rPr>
              <w:t xml:space="preserve">Предлагаемая редакция </w:t>
            </w:r>
          </w:p>
        </w:tc>
      </w:tr>
      <w:tr w:rsidR="00D708F6" w:rsidRPr="00D152FE" w14:paraId="35138254" w14:textId="77777777" w:rsidTr="004015C3">
        <w:tc>
          <w:tcPr>
            <w:tcW w:w="7296" w:type="dxa"/>
            <w:gridSpan w:val="2"/>
          </w:tcPr>
          <w:p w14:paraId="72211EA6" w14:textId="77777777" w:rsidR="00D708F6" w:rsidRPr="00D152FE" w:rsidRDefault="00D708F6" w:rsidP="00D708F6">
            <w:pPr>
              <w:pStyle w:val="tkZagolovok5"/>
              <w:rPr>
                <w:rFonts w:ascii="Times New Roman" w:hAnsi="Times New Roman" w:cs="Times New Roman"/>
                <w:sz w:val="24"/>
                <w:szCs w:val="24"/>
              </w:rPr>
            </w:pPr>
            <w:r w:rsidRPr="00D152FE">
              <w:rPr>
                <w:rFonts w:ascii="Times New Roman" w:hAnsi="Times New Roman" w:cs="Times New Roman"/>
                <w:sz w:val="24"/>
                <w:szCs w:val="24"/>
              </w:rPr>
              <w:t>Статья 219. Организация или содержание притона для проведения азартных игр, проведение азартных игр</w:t>
            </w:r>
          </w:p>
          <w:p w14:paraId="7BA1AB74"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 Организация или содержание тотализаторов, букмекерских контор и притона для проведения азартных игр, а равно проведение азартных игр с использованием игорного оборудования либо с использованием компьютерных, информационно-телекоммуникационных сетей, в том числе сети Интернет, -</w:t>
            </w:r>
          </w:p>
          <w:p w14:paraId="043B89BD"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наказываются штрафом от 1000 до 2000 расчетных показателей или лишением свободы на срок до пяти лет.</w:t>
            </w:r>
          </w:p>
          <w:p w14:paraId="7B1FD03A"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 Те же деяния, совершенные:</w:t>
            </w:r>
          </w:p>
          <w:p w14:paraId="0E844699"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 группой лиц;</w:t>
            </w:r>
          </w:p>
          <w:p w14:paraId="03950313"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 группой лиц по предварительному сговору, -</w:t>
            </w:r>
          </w:p>
          <w:p w14:paraId="06A398D1"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наказываются лишением свободы на срок от пяти до восьми лет.</w:t>
            </w:r>
          </w:p>
          <w:p w14:paraId="4D2A4425" w14:textId="77777777" w:rsidR="00D708F6" w:rsidRPr="00D152FE" w:rsidRDefault="00D708F6" w:rsidP="00D708F6">
            <w:pPr>
              <w:jc w:val="center"/>
              <w:rPr>
                <w:rFonts w:cs="Times New Roman"/>
                <w:b/>
                <w:szCs w:val="24"/>
              </w:rPr>
            </w:pPr>
          </w:p>
        </w:tc>
        <w:tc>
          <w:tcPr>
            <w:tcW w:w="7264" w:type="dxa"/>
          </w:tcPr>
          <w:p w14:paraId="69851E73" w14:textId="77777777" w:rsidR="00D708F6" w:rsidRPr="00D152FE" w:rsidRDefault="00D708F6" w:rsidP="00D708F6">
            <w:pPr>
              <w:pStyle w:val="tkZagolovok5"/>
              <w:rPr>
                <w:rFonts w:ascii="Times New Roman" w:hAnsi="Times New Roman" w:cs="Times New Roman"/>
                <w:strike/>
                <w:sz w:val="24"/>
                <w:szCs w:val="24"/>
              </w:rPr>
            </w:pPr>
            <w:r w:rsidRPr="00D152FE">
              <w:rPr>
                <w:rFonts w:ascii="Times New Roman" w:hAnsi="Times New Roman" w:cs="Times New Roman"/>
                <w:strike/>
                <w:sz w:val="24"/>
                <w:szCs w:val="24"/>
              </w:rPr>
              <w:t>Статья 219. Организация или содержание притона для проведения азартных игр, проведение азартных игр</w:t>
            </w:r>
          </w:p>
          <w:p w14:paraId="32EE07E8" w14:textId="77777777" w:rsidR="00D708F6" w:rsidRPr="00D152FE" w:rsidRDefault="00D708F6" w:rsidP="00D708F6">
            <w:pPr>
              <w:pStyle w:val="tkTekst"/>
              <w:rPr>
                <w:rFonts w:ascii="Times New Roman" w:hAnsi="Times New Roman" w:cs="Times New Roman"/>
                <w:b/>
                <w:strike/>
                <w:sz w:val="24"/>
                <w:szCs w:val="24"/>
              </w:rPr>
            </w:pPr>
            <w:r w:rsidRPr="00D152FE">
              <w:rPr>
                <w:rFonts w:ascii="Times New Roman" w:hAnsi="Times New Roman" w:cs="Times New Roman"/>
                <w:b/>
                <w:strike/>
                <w:sz w:val="24"/>
                <w:szCs w:val="24"/>
              </w:rPr>
              <w:t>1. Организация или содержание тотализаторов, букмекерских контор и притона для проведения азартных игр, а равно проведение азартных игр с использованием игорного оборудования либо с использованием компьютерных, информационно-телекоммуникационных сетей, в том числе сети Интернет, -</w:t>
            </w:r>
          </w:p>
          <w:p w14:paraId="70B218DC" w14:textId="77777777" w:rsidR="00D708F6" w:rsidRPr="00D152FE" w:rsidRDefault="00D708F6" w:rsidP="00D708F6">
            <w:pPr>
              <w:pStyle w:val="tkTekst"/>
              <w:rPr>
                <w:rFonts w:ascii="Times New Roman" w:hAnsi="Times New Roman" w:cs="Times New Roman"/>
                <w:b/>
                <w:strike/>
                <w:sz w:val="24"/>
                <w:szCs w:val="24"/>
              </w:rPr>
            </w:pPr>
            <w:r w:rsidRPr="00D152FE">
              <w:rPr>
                <w:rFonts w:ascii="Times New Roman" w:hAnsi="Times New Roman" w:cs="Times New Roman"/>
                <w:b/>
                <w:strike/>
                <w:sz w:val="24"/>
                <w:szCs w:val="24"/>
              </w:rPr>
              <w:t>наказываются штрафом от 1000 до 2000 расчетных показателей или лишением свободы на срок до пяти лет.</w:t>
            </w:r>
          </w:p>
          <w:p w14:paraId="7B7097FE" w14:textId="77777777" w:rsidR="00D708F6" w:rsidRPr="00D152FE" w:rsidRDefault="00D708F6" w:rsidP="00D708F6">
            <w:pPr>
              <w:pStyle w:val="tkTekst"/>
              <w:rPr>
                <w:rFonts w:ascii="Times New Roman" w:hAnsi="Times New Roman" w:cs="Times New Roman"/>
                <w:b/>
                <w:strike/>
                <w:sz w:val="24"/>
                <w:szCs w:val="24"/>
              </w:rPr>
            </w:pPr>
            <w:r w:rsidRPr="00D152FE">
              <w:rPr>
                <w:rFonts w:ascii="Times New Roman" w:hAnsi="Times New Roman" w:cs="Times New Roman"/>
                <w:b/>
                <w:strike/>
                <w:sz w:val="24"/>
                <w:szCs w:val="24"/>
              </w:rPr>
              <w:t>2. Те же деяния, совершенные:</w:t>
            </w:r>
          </w:p>
          <w:p w14:paraId="2983F704" w14:textId="77777777" w:rsidR="00D708F6" w:rsidRPr="00D152FE" w:rsidRDefault="00D708F6" w:rsidP="00D708F6">
            <w:pPr>
              <w:pStyle w:val="tkTekst"/>
              <w:rPr>
                <w:rFonts w:ascii="Times New Roman" w:hAnsi="Times New Roman" w:cs="Times New Roman"/>
                <w:b/>
                <w:strike/>
                <w:sz w:val="24"/>
                <w:szCs w:val="24"/>
              </w:rPr>
            </w:pPr>
            <w:r w:rsidRPr="00D152FE">
              <w:rPr>
                <w:rFonts w:ascii="Times New Roman" w:hAnsi="Times New Roman" w:cs="Times New Roman"/>
                <w:b/>
                <w:strike/>
                <w:sz w:val="24"/>
                <w:szCs w:val="24"/>
              </w:rPr>
              <w:t>1) группой лиц;</w:t>
            </w:r>
          </w:p>
          <w:p w14:paraId="46A82527" w14:textId="77777777" w:rsidR="00D708F6" w:rsidRPr="00D152FE" w:rsidRDefault="00D708F6" w:rsidP="00D708F6">
            <w:pPr>
              <w:pStyle w:val="tkTekst"/>
              <w:rPr>
                <w:rFonts w:ascii="Times New Roman" w:hAnsi="Times New Roman" w:cs="Times New Roman"/>
                <w:b/>
                <w:strike/>
                <w:sz w:val="24"/>
                <w:szCs w:val="24"/>
              </w:rPr>
            </w:pPr>
            <w:r w:rsidRPr="00D152FE">
              <w:rPr>
                <w:rFonts w:ascii="Times New Roman" w:hAnsi="Times New Roman" w:cs="Times New Roman"/>
                <w:b/>
                <w:strike/>
                <w:sz w:val="24"/>
                <w:szCs w:val="24"/>
              </w:rPr>
              <w:t>2) группой лиц по предварительному сговору, -</w:t>
            </w:r>
          </w:p>
          <w:p w14:paraId="0340098E" w14:textId="0EB90C35" w:rsidR="00D708F6" w:rsidRDefault="00D708F6" w:rsidP="00D708F6">
            <w:pPr>
              <w:pStyle w:val="tkTekst"/>
              <w:rPr>
                <w:rFonts w:ascii="Times New Roman" w:hAnsi="Times New Roman" w:cs="Times New Roman"/>
                <w:b/>
                <w:strike/>
                <w:sz w:val="24"/>
                <w:szCs w:val="24"/>
              </w:rPr>
            </w:pPr>
            <w:r w:rsidRPr="00D152FE">
              <w:rPr>
                <w:rFonts w:ascii="Times New Roman" w:hAnsi="Times New Roman" w:cs="Times New Roman"/>
                <w:b/>
                <w:strike/>
                <w:sz w:val="24"/>
                <w:szCs w:val="24"/>
              </w:rPr>
              <w:t>наказываются лишением свободы на срок от пяти до восьми лет.</w:t>
            </w:r>
          </w:p>
          <w:p w14:paraId="6D74CE19" w14:textId="77777777" w:rsidR="00D708F6" w:rsidRPr="00D152FE" w:rsidRDefault="00D708F6" w:rsidP="00D708F6">
            <w:pPr>
              <w:pStyle w:val="tkTekst"/>
              <w:rPr>
                <w:rFonts w:cs="Times New Roman"/>
                <w:b/>
                <w:szCs w:val="24"/>
              </w:rPr>
            </w:pPr>
          </w:p>
        </w:tc>
      </w:tr>
      <w:tr w:rsidR="00D708F6" w:rsidRPr="00D152FE" w14:paraId="1380F1D4" w14:textId="77777777" w:rsidTr="000F304C">
        <w:tc>
          <w:tcPr>
            <w:tcW w:w="14560" w:type="dxa"/>
            <w:gridSpan w:val="3"/>
          </w:tcPr>
          <w:p w14:paraId="6C730482" w14:textId="5264DB18" w:rsidR="00D708F6" w:rsidRPr="004015C3" w:rsidRDefault="00D708F6" w:rsidP="00D708F6">
            <w:pPr>
              <w:pStyle w:val="tkZagolovok5"/>
              <w:jc w:val="center"/>
              <w:rPr>
                <w:rFonts w:ascii="Times New Roman" w:hAnsi="Times New Roman" w:cs="Times New Roman"/>
                <w:strike/>
                <w:sz w:val="24"/>
                <w:szCs w:val="24"/>
              </w:rPr>
            </w:pPr>
            <w:r w:rsidRPr="004015C3">
              <w:rPr>
                <w:rFonts w:ascii="Times New Roman" w:hAnsi="Times New Roman" w:cs="Times New Roman"/>
                <w:iCs/>
                <w:color w:val="000000"/>
                <w:sz w:val="24"/>
                <w:szCs w:val="24"/>
                <w:lang w:eastAsia="en-US"/>
              </w:rPr>
              <w:t>Кодекс Кыргызской Республики о правонарушениях</w:t>
            </w:r>
          </w:p>
        </w:tc>
      </w:tr>
      <w:tr w:rsidR="00D708F6" w:rsidRPr="00D152FE" w14:paraId="59BB9A37" w14:textId="77777777" w:rsidTr="004015C3">
        <w:tc>
          <w:tcPr>
            <w:tcW w:w="7296" w:type="dxa"/>
            <w:gridSpan w:val="2"/>
          </w:tcPr>
          <w:p w14:paraId="07D8DA8C" w14:textId="77777777" w:rsidR="00D708F6" w:rsidRPr="004015C3" w:rsidRDefault="00D708F6" w:rsidP="00D708F6">
            <w:pPr>
              <w:pStyle w:val="tkZagolovok5"/>
              <w:spacing w:before="0" w:after="0"/>
              <w:ind w:firstLine="0"/>
              <w:rPr>
                <w:rFonts w:ascii="Times New Roman" w:hAnsi="Times New Roman" w:cs="Times New Roman"/>
                <w:sz w:val="24"/>
                <w:szCs w:val="24"/>
              </w:rPr>
            </w:pPr>
            <w:r w:rsidRPr="004015C3">
              <w:rPr>
                <w:rFonts w:ascii="Times New Roman" w:hAnsi="Times New Roman" w:cs="Times New Roman"/>
                <w:sz w:val="24"/>
                <w:szCs w:val="24"/>
              </w:rPr>
              <w:t>Статья 346. Нарушение законодательства о лотерейной деятельности</w:t>
            </w:r>
          </w:p>
          <w:p w14:paraId="2544D493" w14:textId="77777777" w:rsidR="00D708F6" w:rsidRPr="004015C3" w:rsidRDefault="00D708F6" w:rsidP="00D708F6">
            <w:pPr>
              <w:pStyle w:val="tkTekst"/>
              <w:rPr>
                <w:rFonts w:ascii="Times New Roman" w:hAnsi="Times New Roman" w:cs="Times New Roman"/>
                <w:sz w:val="24"/>
                <w:szCs w:val="24"/>
              </w:rPr>
            </w:pPr>
            <w:r w:rsidRPr="004015C3">
              <w:rPr>
                <w:rFonts w:ascii="Times New Roman" w:hAnsi="Times New Roman" w:cs="Times New Roman"/>
                <w:sz w:val="24"/>
                <w:szCs w:val="24"/>
              </w:rPr>
              <w:t>Нарушение или неисполнение лотерейной компанией требований законодательства о лотерейной деятельности -</w:t>
            </w:r>
          </w:p>
          <w:p w14:paraId="5C9BC937" w14:textId="77777777" w:rsidR="00D708F6" w:rsidRPr="004015C3" w:rsidRDefault="00D708F6" w:rsidP="00D708F6">
            <w:pPr>
              <w:pStyle w:val="tkTekst"/>
              <w:rPr>
                <w:rFonts w:ascii="Times New Roman" w:hAnsi="Times New Roman" w:cs="Times New Roman"/>
                <w:sz w:val="24"/>
                <w:szCs w:val="24"/>
              </w:rPr>
            </w:pPr>
            <w:r w:rsidRPr="004015C3">
              <w:rPr>
                <w:rFonts w:ascii="Times New Roman" w:hAnsi="Times New Roman" w:cs="Times New Roman"/>
                <w:sz w:val="24"/>
                <w:szCs w:val="24"/>
              </w:rPr>
              <w:t>влечет наложение штрафа на юридических лиц в размере 280 расчетных показателей.</w:t>
            </w:r>
          </w:p>
          <w:p w14:paraId="4A3A4921" w14:textId="77777777" w:rsidR="00D708F6" w:rsidRPr="00D152FE" w:rsidRDefault="00D708F6" w:rsidP="00D708F6">
            <w:pPr>
              <w:pStyle w:val="tkZagolovok5"/>
              <w:rPr>
                <w:rFonts w:ascii="Times New Roman" w:hAnsi="Times New Roman" w:cs="Times New Roman"/>
                <w:sz w:val="24"/>
                <w:szCs w:val="24"/>
              </w:rPr>
            </w:pPr>
          </w:p>
        </w:tc>
        <w:tc>
          <w:tcPr>
            <w:tcW w:w="7264" w:type="dxa"/>
          </w:tcPr>
          <w:p w14:paraId="0A585DD2" w14:textId="1BE11D37" w:rsidR="00D708F6" w:rsidRPr="004015C3" w:rsidRDefault="00D708F6" w:rsidP="00D708F6">
            <w:pPr>
              <w:ind w:firstLine="459"/>
              <w:jc w:val="both"/>
              <w:rPr>
                <w:rFonts w:eastAsia="Times New Roman" w:cs="Times New Roman"/>
                <w:b/>
                <w:bCs/>
                <w:iCs/>
                <w:color w:val="000000"/>
                <w:szCs w:val="24"/>
              </w:rPr>
            </w:pPr>
            <w:r w:rsidRPr="004015C3">
              <w:rPr>
                <w:rFonts w:eastAsia="Times New Roman" w:cs="Times New Roman"/>
                <w:b/>
                <w:bCs/>
                <w:iCs/>
                <w:color w:val="000000"/>
                <w:szCs w:val="24"/>
              </w:rPr>
              <w:t>Статья 346. Нарушение законодательства о лотерейной и игорной деятельности</w:t>
            </w:r>
          </w:p>
          <w:p w14:paraId="7B13FA75" w14:textId="77777777" w:rsidR="00D708F6" w:rsidRPr="004015C3" w:rsidRDefault="00D708F6" w:rsidP="00D708F6">
            <w:pPr>
              <w:ind w:firstLine="459"/>
              <w:jc w:val="both"/>
              <w:rPr>
                <w:rFonts w:eastAsia="Times New Roman" w:cs="Times New Roman"/>
                <w:b/>
                <w:bCs/>
                <w:iCs/>
                <w:color w:val="000000"/>
                <w:szCs w:val="24"/>
              </w:rPr>
            </w:pPr>
            <w:r w:rsidRPr="004015C3">
              <w:rPr>
                <w:rFonts w:eastAsia="Times New Roman" w:cs="Times New Roman"/>
                <w:b/>
                <w:bCs/>
                <w:iCs/>
                <w:color w:val="000000"/>
                <w:szCs w:val="24"/>
              </w:rPr>
              <w:t xml:space="preserve">1. Нарушение или неисполнение лотерейной компанией требований законодательства о лотерейной деятельности, </w:t>
            </w:r>
            <w:r w:rsidRPr="004015C3">
              <w:rPr>
                <w:rFonts w:eastAsia="Times New Roman" w:cs="Times New Roman"/>
                <w:b/>
                <w:bCs/>
                <w:iCs/>
                <w:color w:val="000000"/>
                <w:szCs w:val="24"/>
                <w:lang w:val="ky-KG"/>
              </w:rPr>
              <w:t>–</w:t>
            </w:r>
          </w:p>
          <w:p w14:paraId="487C4B0C" w14:textId="77777777" w:rsidR="00D708F6" w:rsidRPr="004015C3" w:rsidRDefault="00D708F6" w:rsidP="00D708F6">
            <w:pPr>
              <w:ind w:firstLine="459"/>
              <w:jc w:val="both"/>
              <w:rPr>
                <w:rFonts w:eastAsia="Times New Roman" w:cs="Times New Roman"/>
                <w:b/>
                <w:bCs/>
                <w:iCs/>
                <w:color w:val="000000"/>
                <w:szCs w:val="24"/>
              </w:rPr>
            </w:pPr>
            <w:r w:rsidRPr="004015C3">
              <w:rPr>
                <w:rFonts w:eastAsia="Times New Roman" w:cs="Times New Roman"/>
                <w:b/>
                <w:bCs/>
                <w:iCs/>
                <w:color w:val="000000"/>
                <w:szCs w:val="24"/>
              </w:rPr>
              <w:t>влечет наложение штрафа на юридических лиц в размере 280 расчетных показателей.</w:t>
            </w:r>
          </w:p>
          <w:p w14:paraId="6357DE9A" w14:textId="77777777" w:rsidR="00D708F6" w:rsidRPr="004015C3" w:rsidRDefault="00D708F6" w:rsidP="00D708F6">
            <w:pPr>
              <w:ind w:firstLine="459"/>
              <w:jc w:val="both"/>
              <w:rPr>
                <w:rFonts w:eastAsia="Times New Roman" w:cs="Times New Roman"/>
                <w:b/>
                <w:bCs/>
                <w:iCs/>
                <w:color w:val="000000"/>
                <w:szCs w:val="24"/>
              </w:rPr>
            </w:pPr>
            <w:r w:rsidRPr="004015C3">
              <w:rPr>
                <w:rFonts w:eastAsia="Times New Roman" w:cs="Times New Roman"/>
                <w:b/>
                <w:bCs/>
                <w:iCs/>
                <w:color w:val="000000"/>
                <w:szCs w:val="24"/>
              </w:rPr>
              <w:t xml:space="preserve">2. Нарушение или неисполнение организаторов игорной деятельности требований законодательства об игорной деятельности, </w:t>
            </w:r>
            <w:r w:rsidRPr="004015C3">
              <w:rPr>
                <w:rFonts w:eastAsia="Times New Roman" w:cs="Times New Roman"/>
                <w:b/>
                <w:bCs/>
                <w:iCs/>
                <w:color w:val="000000"/>
                <w:szCs w:val="24"/>
                <w:lang w:val="ky-KG"/>
              </w:rPr>
              <w:t>–</w:t>
            </w:r>
          </w:p>
          <w:p w14:paraId="3D03B295" w14:textId="77777777" w:rsidR="00D708F6" w:rsidRPr="004015C3" w:rsidRDefault="00D708F6" w:rsidP="00D708F6">
            <w:pPr>
              <w:ind w:firstLine="459"/>
              <w:jc w:val="both"/>
              <w:rPr>
                <w:rFonts w:eastAsia="Times New Roman" w:cs="Times New Roman"/>
                <w:b/>
                <w:bCs/>
                <w:iCs/>
                <w:color w:val="000000"/>
                <w:szCs w:val="24"/>
              </w:rPr>
            </w:pPr>
            <w:r w:rsidRPr="004015C3">
              <w:rPr>
                <w:rFonts w:eastAsia="Times New Roman" w:cs="Times New Roman"/>
                <w:b/>
                <w:bCs/>
                <w:iCs/>
                <w:color w:val="000000"/>
                <w:szCs w:val="24"/>
              </w:rPr>
              <w:lastRenderedPageBreak/>
              <w:t>влечет наложение штрафа на юридических лиц в размере 450 расчетных показателей.</w:t>
            </w:r>
          </w:p>
          <w:p w14:paraId="51E6C28A" w14:textId="77777777" w:rsidR="00D708F6" w:rsidRPr="004015C3" w:rsidRDefault="00D708F6" w:rsidP="00D708F6">
            <w:pPr>
              <w:ind w:firstLine="459"/>
              <w:jc w:val="both"/>
              <w:rPr>
                <w:rFonts w:eastAsia="Times New Roman" w:cs="Times New Roman"/>
                <w:b/>
                <w:bCs/>
                <w:iCs/>
                <w:color w:val="000000"/>
                <w:szCs w:val="24"/>
              </w:rPr>
            </w:pPr>
            <w:r w:rsidRPr="004015C3">
              <w:rPr>
                <w:rFonts w:eastAsia="Times New Roman" w:cs="Times New Roman"/>
                <w:b/>
                <w:bCs/>
                <w:iCs/>
                <w:color w:val="000000"/>
                <w:szCs w:val="24"/>
              </w:rPr>
              <w:t xml:space="preserve">3. Нарушение правил рекламирования игорного бизнеса, </w:t>
            </w:r>
            <w:r w:rsidRPr="004015C3">
              <w:rPr>
                <w:rFonts w:eastAsia="Times New Roman" w:cs="Times New Roman"/>
                <w:b/>
                <w:bCs/>
                <w:iCs/>
                <w:color w:val="000000"/>
                <w:szCs w:val="24"/>
                <w:lang w:val="ky-KG"/>
              </w:rPr>
              <w:t>–</w:t>
            </w:r>
          </w:p>
          <w:p w14:paraId="1CC1FBC1" w14:textId="77777777" w:rsidR="00D708F6" w:rsidRPr="004015C3" w:rsidRDefault="00D708F6" w:rsidP="00D708F6">
            <w:pPr>
              <w:ind w:firstLine="459"/>
              <w:jc w:val="both"/>
              <w:rPr>
                <w:rFonts w:eastAsia="Times New Roman" w:cs="Times New Roman"/>
                <w:b/>
                <w:bCs/>
                <w:iCs/>
                <w:color w:val="000000"/>
                <w:szCs w:val="24"/>
              </w:rPr>
            </w:pPr>
            <w:r w:rsidRPr="004015C3">
              <w:rPr>
                <w:rFonts w:eastAsia="Times New Roman" w:cs="Times New Roman"/>
                <w:b/>
                <w:bCs/>
                <w:iCs/>
                <w:color w:val="000000"/>
                <w:szCs w:val="24"/>
              </w:rPr>
              <w:t>влечет наложение штрафа на юридических лиц в размере 450 расчетных показателей.</w:t>
            </w:r>
          </w:p>
          <w:p w14:paraId="58E3E9DD" w14:textId="77777777" w:rsidR="00D708F6" w:rsidRPr="004015C3" w:rsidRDefault="00D708F6" w:rsidP="00D708F6">
            <w:pPr>
              <w:ind w:firstLine="459"/>
              <w:jc w:val="both"/>
              <w:rPr>
                <w:rFonts w:eastAsia="Times New Roman" w:cs="Times New Roman"/>
                <w:b/>
                <w:bCs/>
                <w:iCs/>
                <w:color w:val="000000"/>
                <w:szCs w:val="24"/>
              </w:rPr>
            </w:pPr>
            <w:r w:rsidRPr="004015C3">
              <w:rPr>
                <w:rFonts w:eastAsia="Times New Roman" w:cs="Times New Roman"/>
                <w:b/>
                <w:bCs/>
                <w:iCs/>
                <w:color w:val="000000"/>
                <w:szCs w:val="24"/>
              </w:rPr>
              <w:t xml:space="preserve">4. Представление недостоверной (ложной) информации или документов либо отказ представить информацию или документы должностному лицу государственных органов, осуществляющих контроль за игорной и лотерейной деятельностью, </w:t>
            </w:r>
            <w:r w:rsidRPr="004015C3">
              <w:rPr>
                <w:rFonts w:eastAsia="Times New Roman" w:cs="Times New Roman"/>
                <w:b/>
                <w:bCs/>
                <w:iCs/>
                <w:color w:val="000000"/>
                <w:szCs w:val="24"/>
                <w:lang w:val="ky-KG"/>
              </w:rPr>
              <w:t>–</w:t>
            </w:r>
          </w:p>
          <w:p w14:paraId="3A8F9974" w14:textId="77777777" w:rsidR="00D708F6" w:rsidRPr="004015C3" w:rsidRDefault="00D708F6" w:rsidP="00D708F6">
            <w:pPr>
              <w:ind w:firstLine="459"/>
              <w:jc w:val="both"/>
              <w:rPr>
                <w:rFonts w:eastAsia="Times New Roman" w:cs="Times New Roman"/>
                <w:b/>
                <w:bCs/>
                <w:iCs/>
                <w:color w:val="000000"/>
                <w:szCs w:val="24"/>
              </w:rPr>
            </w:pPr>
            <w:r w:rsidRPr="004015C3">
              <w:rPr>
                <w:rFonts w:eastAsia="Times New Roman" w:cs="Times New Roman"/>
                <w:b/>
                <w:bCs/>
                <w:iCs/>
                <w:color w:val="000000"/>
                <w:szCs w:val="24"/>
              </w:rPr>
              <w:t>влечет наложение штрафа на должностных лиц субъектов лотерейной деятельности 150 расчетных показателей;</w:t>
            </w:r>
          </w:p>
          <w:p w14:paraId="31FECCA3" w14:textId="77777777" w:rsidR="00D708F6" w:rsidRPr="004015C3" w:rsidRDefault="00D708F6" w:rsidP="00D708F6">
            <w:pPr>
              <w:ind w:firstLine="709"/>
              <w:jc w:val="both"/>
              <w:rPr>
                <w:rFonts w:eastAsia="Times New Roman" w:cs="Times New Roman"/>
                <w:b/>
                <w:bCs/>
                <w:iCs/>
                <w:color w:val="000000"/>
                <w:szCs w:val="24"/>
              </w:rPr>
            </w:pPr>
            <w:r w:rsidRPr="004015C3">
              <w:rPr>
                <w:rFonts w:eastAsia="Times New Roman" w:cs="Times New Roman"/>
                <w:b/>
                <w:bCs/>
                <w:iCs/>
                <w:color w:val="000000"/>
                <w:szCs w:val="24"/>
              </w:rPr>
              <w:t>влечет наложение штрафа на должностных лиц субъектов игорной деятельности 450 расчетных показателей.</w:t>
            </w:r>
          </w:p>
          <w:p w14:paraId="16FD465C" w14:textId="77777777" w:rsidR="00D708F6" w:rsidRPr="004015C3" w:rsidRDefault="00D708F6" w:rsidP="00D708F6">
            <w:pPr>
              <w:ind w:firstLine="709"/>
              <w:jc w:val="both"/>
              <w:rPr>
                <w:rFonts w:eastAsia="Times New Roman" w:cs="Times New Roman"/>
                <w:b/>
                <w:bCs/>
                <w:iCs/>
                <w:color w:val="000000"/>
                <w:szCs w:val="24"/>
              </w:rPr>
            </w:pPr>
            <w:r w:rsidRPr="004015C3">
              <w:rPr>
                <w:rFonts w:eastAsia="Times New Roman" w:cs="Times New Roman"/>
                <w:b/>
                <w:bCs/>
                <w:iCs/>
                <w:color w:val="000000"/>
                <w:szCs w:val="24"/>
              </w:rPr>
              <w:t xml:space="preserve">5. Воспрепятствование деятельности должностных лиц государственных органов, осуществляющих контроль за лотерейной и игорной деятельностью, а равно неисполнение или оставление без рассмотрения должностным лицом субъекта лотерейной, игорной деятельности, требований должностных лиц органов, осуществляющих контроль за лотерейной, игорной деятельностью, при исполнении ими своих должностных обязанностей, </w:t>
            </w:r>
            <w:r w:rsidRPr="004015C3">
              <w:rPr>
                <w:rFonts w:eastAsia="Times New Roman" w:cs="Times New Roman"/>
                <w:b/>
                <w:bCs/>
                <w:iCs/>
                <w:color w:val="000000"/>
                <w:szCs w:val="24"/>
                <w:lang w:val="ky-KG"/>
              </w:rPr>
              <w:t>–</w:t>
            </w:r>
          </w:p>
          <w:p w14:paraId="0D80F34B" w14:textId="77777777" w:rsidR="00D708F6" w:rsidRPr="004015C3" w:rsidRDefault="00D708F6" w:rsidP="00D708F6">
            <w:pPr>
              <w:ind w:firstLine="709"/>
              <w:jc w:val="both"/>
              <w:rPr>
                <w:rFonts w:eastAsia="Times New Roman" w:cs="Times New Roman"/>
                <w:b/>
                <w:bCs/>
                <w:iCs/>
                <w:color w:val="000000"/>
                <w:szCs w:val="24"/>
              </w:rPr>
            </w:pPr>
            <w:r w:rsidRPr="004015C3">
              <w:rPr>
                <w:rFonts w:eastAsia="Times New Roman" w:cs="Times New Roman"/>
                <w:b/>
                <w:bCs/>
                <w:iCs/>
                <w:color w:val="000000"/>
                <w:szCs w:val="24"/>
              </w:rPr>
              <w:t>влечет наложение штрафа на должностных лиц субъектов лотерейной деятельности 150 расчетных показателей;</w:t>
            </w:r>
          </w:p>
          <w:p w14:paraId="39144584" w14:textId="23A4667F" w:rsidR="00D708F6" w:rsidRPr="004015C3" w:rsidRDefault="00D708F6" w:rsidP="00D708F6">
            <w:pPr>
              <w:ind w:firstLine="709"/>
              <w:jc w:val="both"/>
              <w:rPr>
                <w:rFonts w:eastAsia="Times New Roman" w:cs="Times New Roman"/>
                <w:b/>
                <w:bCs/>
                <w:iCs/>
                <w:color w:val="000000"/>
                <w:szCs w:val="24"/>
              </w:rPr>
            </w:pPr>
            <w:r w:rsidRPr="004015C3">
              <w:rPr>
                <w:rFonts w:eastAsia="Times New Roman" w:cs="Times New Roman"/>
                <w:b/>
                <w:bCs/>
                <w:iCs/>
                <w:color w:val="000000"/>
                <w:szCs w:val="24"/>
              </w:rPr>
              <w:t>влечет наложение штрафа на должностных лиц субъектов игорной деятельности 650 расчетных показателей.</w:t>
            </w:r>
          </w:p>
        </w:tc>
      </w:tr>
      <w:tr w:rsidR="00D708F6" w:rsidRPr="00D152FE" w14:paraId="4A51C198" w14:textId="77777777" w:rsidTr="004015C3">
        <w:tc>
          <w:tcPr>
            <w:tcW w:w="14560" w:type="dxa"/>
            <w:gridSpan w:val="3"/>
          </w:tcPr>
          <w:p w14:paraId="487BA40F" w14:textId="77777777" w:rsidR="00D708F6" w:rsidRPr="00D152FE" w:rsidRDefault="00D708F6" w:rsidP="00D708F6">
            <w:pPr>
              <w:jc w:val="center"/>
              <w:rPr>
                <w:rFonts w:cs="Times New Roman"/>
                <w:b/>
                <w:szCs w:val="24"/>
              </w:rPr>
            </w:pPr>
            <w:r w:rsidRPr="00D152FE">
              <w:rPr>
                <w:rFonts w:cs="Times New Roman"/>
                <w:b/>
                <w:szCs w:val="24"/>
              </w:rPr>
              <w:lastRenderedPageBreak/>
              <w:t>Налоговый кодекс Кыргызской Республики</w:t>
            </w:r>
          </w:p>
        </w:tc>
      </w:tr>
      <w:tr w:rsidR="00D708F6" w:rsidRPr="00D152FE" w14:paraId="10B502FA" w14:textId="77777777" w:rsidTr="004015C3">
        <w:tc>
          <w:tcPr>
            <w:tcW w:w="7280" w:type="dxa"/>
          </w:tcPr>
          <w:p w14:paraId="3D7CBE82" w14:textId="77777777" w:rsidR="00D708F6" w:rsidRPr="00D152FE" w:rsidRDefault="00D708F6" w:rsidP="00D708F6">
            <w:pPr>
              <w:pStyle w:val="tkZagolovok5"/>
              <w:rPr>
                <w:rFonts w:ascii="Times New Roman" w:hAnsi="Times New Roman" w:cs="Times New Roman"/>
                <w:sz w:val="24"/>
                <w:szCs w:val="24"/>
              </w:rPr>
            </w:pPr>
            <w:r w:rsidRPr="00D152FE">
              <w:rPr>
                <w:rFonts w:ascii="Times New Roman" w:hAnsi="Times New Roman" w:cs="Times New Roman"/>
                <w:sz w:val="24"/>
                <w:szCs w:val="24"/>
              </w:rPr>
              <w:t>Статья 4. Термины и определения, используемые в настоящем Кодексе</w:t>
            </w:r>
          </w:p>
          <w:p w14:paraId="62EE54FE"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xml:space="preserve">44) </w:t>
            </w:r>
            <w:r w:rsidRPr="00D152FE">
              <w:rPr>
                <w:rFonts w:ascii="Times New Roman" w:hAnsi="Times New Roman" w:cs="Times New Roman"/>
                <w:b/>
                <w:bCs/>
                <w:sz w:val="24"/>
                <w:szCs w:val="24"/>
              </w:rPr>
              <w:t>экспорт работ и услуг</w:t>
            </w:r>
            <w:r w:rsidRPr="00D152FE">
              <w:rPr>
                <w:rFonts w:ascii="Times New Roman" w:hAnsi="Times New Roman" w:cs="Times New Roman"/>
                <w:sz w:val="24"/>
                <w:szCs w:val="24"/>
              </w:rPr>
              <w:t xml:space="preserve"> - поставка работ и услуг, выполненных и оказанных налогоплательщиком в том случае, если место поставки работ и услуг в соответствии с настоящим Кодексом находится за пределами территории Кыргызской Республики;</w:t>
            </w:r>
          </w:p>
          <w:p w14:paraId="6C3F8B2F"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xml:space="preserve">45) </w:t>
            </w:r>
            <w:r w:rsidRPr="00D152FE">
              <w:rPr>
                <w:rFonts w:ascii="Times New Roman" w:hAnsi="Times New Roman" w:cs="Times New Roman"/>
                <w:b/>
                <w:bCs/>
                <w:sz w:val="24"/>
                <w:szCs w:val="24"/>
              </w:rPr>
              <w:t>экспорт товаров</w:t>
            </w:r>
            <w:r w:rsidRPr="00D152FE">
              <w:rPr>
                <w:rFonts w:ascii="Times New Roman" w:hAnsi="Times New Roman" w:cs="Times New Roman"/>
                <w:sz w:val="24"/>
                <w:szCs w:val="24"/>
              </w:rPr>
              <w:t xml:space="preserve"> - вывоз реализуемых товаров с территории Кыргызской Республики на территорию государства-члена ЕАЭС или за пределы таможенной территории ЕАЭС</w:t>
            </w:r>
          </w:p>
          <w:p w14:paraId="4AF59853" w14:textId="77777777" w:rsidR="00D708F6" w:rsidRPr="00D152FE" w:rsidRDefault="00D708F6" w:rsidP="00D708F6">
            <w:pPr>
              <w:pStyle w:val="tkTekst"/>
              <w:ind w:firstLine="0"/>
              <w:rPr>
                <w:rFonts w:cs="Times New Roman"/>
                <w:b/>
                <w:szCs w:val="24"/>
              </w:rPr>
            </w:pPr>
          </w:p>
        </w:tc>
        <w:tc>
          <w:tcPr>
            <w:tcW w:w="7280" w:type="dxa"/>
            <w:gridSpan w:val="2"/>
          </w:tcPr>
          <w:p w14:paraId="195FF133" w14:textId="77777777" w:rsidR="00D708F6" w:rsidRPr="00D152FE" w:rsidRDefault="00D708F6" w:rsidP="00D708F6">
            <w:pPr>
              <w:jc w:val="center"/>
              <w:rPr>
                <w:rFonts w:cs="Times New Roman"/>
                <w:b/>
                <w:szCs w:val="24"/>
              </w:rPr>
            </w:pPr>
          </w:p>
        </w:tc>
      </w:tr>
      <w:tr w:rsidR="00D708F6" w:rsidRPr="00D152FE" w14:paraId="790EEF69" w14:textId="77777777" w:rsidTr="004015C3">
        <w:tc>
          <w:tcPr>
            <w:tcW w:w="7280" w:type="dxa"/>
          </w:tcPr>
          <w:p w14:paraId="6DFDE7B0" w14:textId="77777777" w:rsidR="00D708F6" w:rsidRPr="004015C3" w:rsidRDefault="00D708F6" w:rsidP="00D708F6">
            <w:pPr>
              <w:pStyle w:val="tkZagolovok5"/>
              <w:rPr>
                <w:rFonts w:ascii="Times New Roman" w:hAnsi="Times New Roman" w:cs="Times New Roman"/>
                <w:sz w:val="24"/>
                <w:szCs w:val="24"/>
              </w:rPr>
            </w:pPr>
            <w:r w:rsidRPr="004015C3">
              <w:rPr>
                <w:rFonts w:ascii="Times New Roman" w:hAnsi="Times New Roman" w:cs="Times New Roman"/>
                <w:sz w:val="24"/>
                <w:szCs w:val="24"/>
              </w:rPr>
              <w:t>Статья 184. Понятия и термины, используемые в настоящем разделе</w:t>
            </w:r>
          </w:p>
          <w:p w14:paraId="40AE4D3D" w14:textId="77777777" w:rsidR="00D708F6" w:rsidRPr="004015C3" w:rsidRDefault="00D708F6" w:rsidP="00D708F6">
            <w:pPr>
              <w:pStyle w:val="tkTekst"/>
              <w:rPr>
                <w:rFonts w:ascii="Times New Roman" w:hAnsi="Times New Roman" w:cs="Times New Roman"/>
                <w:sz w:val="24"/>
                <w:szCs w:val="24"/>
              </w:rPr>
            </w:pPr>
            <w:r w:rsidRPr="004015C3">
              <w:rPr>
                <w:rFonts w:ascii="Times New Roman" w:hAnsi="Times New Roman" w:cs="Times New Roman"/>
                <w:sz w:val="24"/>
                <w:szCs w:val="24"/>
              </w:rPr>
              <w:t>Для целей настоящего раздела используются следующие понятия и термины:</w:t>
            </w:r>
          </w:p>
          <w:p w14:paraId="79D5F233" w14:textId="77777777" w:rsidR="00D708F6" w:rsidRPr="004015C3" w:rsidRDefault="00D708F6" w:rsidP="00D708F6">
            <w:pPr>
              <w:pStyle w:val="tkTekst"/>
              <w:rPr>
                <w:rFonts w:ascii="Times New Roman" w:hAnsi="Times New Roman" w:cs="Times New Roman"/>
                <w:sz w:val="24"/>
                <w:szCs w:val="24"/>
              </w:rPr>
            </w:pPr>
            <w:r w:rsidRPr="004015C3">
              <w:rPr>
                <w:rFonts w:ascii="Times New Roman" w:hAnsi="Times New Roman" w:cs="Times New Roman"/>
                <w:sz w:val="24"/>
                <w:szCs w:val="24"/>
              </w:rPr>
              <w:t xml:space="preserve">1) </w:t>
            </w:r>
            <w:r w:rsidRPr="004015C3">
              <w:rPr>
                <w:rFonts w:ascii="Times New Roman" w:hAnsi="Times New Roman" w:cs="Times New Roman"/>
                <w:b/>
                <w:bCs/>
                <w:sz w:val="24"/>
                <w:szCs w:val="24"/>
              </w:rPr>
              <w:t>выигрыш</w:t>
            </w:r>
            <w:r w:rsidRPr="004015C3">
              <w:rPr>
                <w:rFonts w:ascii="Times New Roman" w:hAnsi="Times New Roman" w:cs="Times New Roman"/>
                <w:sz w:val="24"/>
                <w:szCs w:val="24"/>
              </w:rPr>
              <w:t xml:space="preserve"> - любые виды дохода, в качестве приза или денежных выплат, получаемые налогоплательщиком от участия в играх, лотереях, розыгрышах, конкурсах, соревнованиях, олимпиадах, фестивалях и других подобных мероприятиях;</w:t>
            </w:r>
          </w:p>
          <w:p w14:paraId="1FB994F3" w14:textId="77777777" w:rsidR="00D708F6" w:rsidRPr="004015C3" w:rsidRDefault="00D708F6" w:rsidP="00D708F6">
            <w:pPr>
              <w:pStyle w:val="tkTekst"/>
              <w:rPr>
                <w:rFonts w:ascii="Times New Roman" w:hAnsi="Times New Roman" w:cs="Times New Roman"/>
                <w:sz w:val="24"/>
                <w:szCs w:val="24"/>
              </w:rPr>
            </w:pPr>
            <w:r w:rsidRPr="004015C3">
              <w:rPr>
                <w:rFonts w:ascii="Times New Roman" w:hAnsi="Times New Roman" w:cs="Times New Roman"/>
                <w:sz w:val="24"/>
                <w:szCs w:val="24"/>
              </w:rPr>
              <w:t xml:space="preserve">2) </w:t>
            </w:r>
            <w:r w:rsidRPr="004015C3">
              <w:rPr>
                <w:rFonts w:ascii="Times New Roman" w:hAnsi="Times New Roman" w:cs="Times New Roman"/>
                <w:b/>
                <w:bCs/>
                <w:sz w:val="24"/>
                <w:szCs w:val="24"/>
              </w:rPr>
              <w:t>доход</w:t>
            </w:r>
            <w:r w:rsidRPr="004015C3">
              <w:rPr>
                <w:rFonts w:ascii="Times New Roman" w:hAnsi="Times New Roman" w:cs="Times New Roman"/>
                <w:sz w:val="24"/>
                <w:szCs w:val="24"/>
              </w:rPr>
              <w:t xml:space="preserve"> - увеличение активов, получение материальных ценностей, обладающих денежной стоимостью, и/или получение материальных выгод, а также уменьшение обязательств налогоплательщика;</w:t>
            </w:r>
          </w:p>
          <w:p w14:paraId="2D940306" w14:textId="77777777" w:rsidR="00D708F6" w:rsidRDefault="00D708F6" w:rsidP="00D708F6">
            <w:pPr>
              <w:pStyle w:val="tkTekst"/>
            </w:pPr>
            <w:r w:rsidRPr="004015C3">
              <w:rPr>
                <w:rFonts w:ascii="Times New Roman" w:hAnsi="Times New Roman" w:cs="Times New Roman"/>
                <w:sz w:val="24"/>
                <w:szCs w:val="24"/>
              </w:rPr>
              <w:t xml:space="preserve">3) </w:t>
            </w:r>
            <w:r w:rsidRPr="004015C3">
              <w:rPr>
                <w:rFonts w:ascii="Times New Roman" w:hAnsi="Times New Roman" w:cs="Times New Roman"/>
                <w:b/>
                <w:bCs/>
                <w:sz w:val="24"/>
                <w:szCs w:val="24"/>
              </w:rPr>
              <w:t>иждивенец</w:t>
            </w:r>
            <w:r w:rsidRPr="004015C3">
              <w:rPr>
                <w:rFonts w:ascii="Times New Roman" w:hAnsi="Times New Roman" w:cs="Times New Roman"/>
                <w:sz w:val="24"/>
                <w:szCs w:val="24"/>
              </w:rPr>
              <w:t xml:space="preserve"> - близкий родственник налогоплательщика</w:t>
            </w:r>
            <w:r>
              <w:t xml:space="preserve">, </w:t>
            </w:r>
            <w:r w:rsidRPr="004015C3">
              <w:rPr>
                <w:rFonts w:ascii="Times New Roman" w:hAnsi="Times New Roman" w:cs="Times New Roman"/>
                <w:sz w:val="24"/>
                <w:szCs w:val="24"/>
              </w:rPr>
              <w:t>проживающий за счет его дохода, не имеющий дохода.</w:t>
            </w:r>
          </w:p>
          <w:p w14:paraId="47D73D50" w14:textId="77777777" w:rsidR="00D708F6" w:rsidRPr="00D152FE" w:rsidRDefault="00D708F6" w:rsidP="00D708F6">
            <w:pPr>
              <w:pStyle w:val="tkZagolovok5"/>
              <w:rPr>
                <w:rFonts w:ascii="Times New Roman" w:hAnsi="Times New Roman" w:cs="Times New Roman"/>
                <w:sz w:val="24"/>
                <w:szCs w:val="24"/>
              </w:rPr>
            </w:pPr>
          </w:p>
        </w:tc>
        <w:tc>
          <w:tcPr>
            <w:tcW w:w="7280" w:type="dxa"/>
            <w:gridSpan w:val="2"/>
          </w:tcPr>
          <w:p w14:paraId="38721284" w14:textId="77777777" w:rsidR="00D708F6" w:rsidRPr="004015C3" w:rsidRDefault="00D708F6" w:rsidP="00D708F6">
            <w:pPr>
              <w:pStyle w:val="tkZagolovok5"/>
              <w:rPr>
                <w:rFonts w:ascii="Times New Roman" w:hAnsi="Times New Roman" w:cs="Times New Roman"/>
                <w:sz w:val="24"/>
                <w:szCs w:val="24"/>
              </w:rPr>
            </w:pPr>
            <w:r w:rsidRPr="004015C3">
              <w:rPr>
                <w:rFonts w:ascii="Times New Roman" w:hAnsi="Times New Roman" w:cs="Times New Roman"/>
                <w:sz w:val="24"/>
                <w:szCs w:val="24"/>
              </w:rPr>
              <w:t>Статья 184. Понятия и термины, используемые в настоящем разделе</w:t>
            </w:r>
          </w:p>
          <w:p w14:paraId="0B3D11B8" w14:textId="77777777" w:rsidR="00D708F6" w:rsidRPr="004015C3" w:rsidRDefault="00D708F6" w:rsidP="00D708F6">
            <w:pPr>
              <w:pStyle w:val="tkTekst"/>
              <w:rPr>
                <w:rFonts w:ascii="Times New Roman" w:hAnsi="Times New Roman" w:cs="Times New Roman"/>
                <w:sz w:val="24"/>
                <w:szCs w:val="24"/>
              </w:rPr>
            </w:pPr>
            <w:r w:rsidRPr="004015C3">
              <w:rPr>
                <w:rFonts w:ascii="Times New Roman" w:hAnsi="Times New Roman" w:cs="Times New Roman"/>
                <w:sz w:val="24"/>
                <w:szCs w:val="24"/>
              </w:rPr>
              <w:t>Для целей настоящего раздела используются следующие понятия и термины:</w:t>
            </w:r>
          </w:p>
          <w:p w14:paraId="40DD896C" w14:textId="4543393C" w:rsidR="00D708F6" w:rsidRPr="004015C3" w:rsidRDefault="00D708F6" w:rsidP="00D708F6">
            <w:pPr>
              <w:pStyle w:val="tkTekst"/>
              <w:rPr>
                <w:rFonts w:ascii="Times New Roman" w:hAnsi="Times New Roman" w:cs="Times New Roman"/>
                <w:sz w:val="24"/>
                <w:szCs w:val="24"/>
              </w:rPr>
            </w:pPr>
            <w:r w:rsidRPr="004015C3">
              <w:rPr>
                <w:rFonts w:ascii="Times New Roman" w:hAnsi="Times New Roman" w:cs="Times New Roman"/>
                <w:sz w:val="24"/>
                <w:szCs w:val="24"/>
              </w:rPr>
              <w:t xml:space="preserve">1) </w:t>
            </w:r>
            <w:r w:rsidRPr="004015C3">
              <w:rPr>
                <w:rFonts w:ascii="Times New Roman" w:hAnsi="Times New Roman" w:cs="Times New Roman"/>
                <w:b/>
                <w:bCs/>
                <w:sz w:val="24"/>
                <w:szCs w:val="24"/>
              </w:rPr>
              <w:t>выигрыш</w:t>
            </w:r>
            <w:r w:rsidRPr="004015C3">
              <w:rPr>
                <w:rFonts w:ascii="Times New Roman" w:hAnsi="Times New Roman" w:cs="Times New Roman"/>
                <w:sz w:val="24"/>
                <w:szCs w:val="24"/>
              </w:rPr>
              <w:t xml:space="preserve"> - любые виды дохода, в качестве приза или денежных выплат, получаемые налогоплательщиком от участия в играх,</w:t>
            </w:r>
            <w:r>
              <w:rPr>
                <w:rFonts w:ascii="Times New Roman" w:hAnsi="Times New Roman" w:cs="Times New Roman"/>
                <w:sz w:val="24"/>
                <w:szCs w:val="24"/>
              </w:rPr>
              <w:t xml:space="preserve"> </w:t>
            </w:r>
            <w:r w:rsidRPr="004015C3">
              <w:rPr>
                <w:rFonts w:ascii="Times New Roman" w:hAnsi="Times New Roman" w:cs="Times New Roman"/>
                <w:b/>
                <w:bCs/>
                <w:sz w:val="24"/>
                <w:szCs w:val="24"/>
              </w:rPr>
              <w:t>в том числе азартных играх,</w:t>
            </w:r>
            <w:r w:rsidRPr="004015C3">
              <w:rPr>
                <w:rFonts w:ascii="Times New Roman" w:hAnsi="Times New Roman" w:cs="Times New Roman"/>
                <w:sz w:val="24"/>
                <w:szCs w:val="24"/>
              </w:rPr>
              <w:t xml:space="preserve"> лотереях, розыгрышах, конкурсах, соревнованиях, олимпиадах, фестивалях и других подобных мероприятиях;</w:t>
            </w:r>
          </w:p>
          <w:p w14:paraId="0DEDDC50" w14:textId="77777777" w:rsidR="00D708F6" w:rsidRPr="004015C3" w:rsidRDefault="00D708F6" w:rsidP="00D708F6">
            <w:pPr>
              <w:pStyle w:val="tkTekst"/>
              <w:rPr>
                <w:rFonts w:ascii="Times New Roman" w:hAnsi="Times New Roman" w:cs="Times New Roman"/>
                <w:sz w:val="24"/>
                <w:szCs w:val="24"/>
              </w:rPr>
            </w:pPr>
            <w:r w:rsidRPr="004015C3">
              <w:rPr>
                <w:rFonts w:ascii="Times New Roman" w:hAnsi="Times New Roman" w:cs="Times New Roman"/>
                <w:sz w:val="24"/>
                <w:szCs w:val="24"/>
              </w:rPr>
              <w:t xml:space="preserve">2) </w:t>
            </w:r>
            <w:r w:rsidRPr="004015C3">
              <w:rPr>
                <w:rFonts w:ascii="Times New Roman" w:hAnsi="Times New Roman" w:cs="Times New Roman"/>
                <w:b/>
                <w:bCs/>
                <w:sz w:val="24"/>
                <w:szCs w:val="24"/>
              </w:rPr>
              <w:t>доход</w:t>
            </w:r>
            <w:r w:rsidRPr="004015C3">
              <w:rPr>
                <w:rFonts w:ascii="Times New Roman" w:hAnsi="Times New Roman" w:cs="Times New Roman"/>
                <w:sz w:val="24"/>
                <w:szCs w:val="24"/>
              </w:rPr>
              <w:t xml:space="preserve"> - увеличение активов, получение материальных ценностей, обладающих денежной стоимостью, и/или получение материальных выгод, а также уменьшение обязательств налогоплательщика;</w:t>
            </w:r>
          </w:p>
          <w:p w14:paraId="3D727F73" w14:textId="5EA335F7" w:rsidR="00D708F6" w:rsidRPr="00D708F6" w:rsidRDefault="00D708F6" w:rsidP="00D708F6">
            <w:pPr>
              <w:pStyle w:val="tkTekst"/>
              <w:rPr>
                <w:rFonts w:ascii="Times New Roman" w:hAnsi="Times New Roman" w:cs="Times New Roman"/>
                <w:sz w:val="24"/>
                <w:szCs w:val="24"/>
              </w:rPr>
            </w:pPr>
            <w:r w:rsidRPr="004015C3">
              <w:rPr>
                <w:rFonts w:ascii="Times New Roman" w:hAnsi="Times New Roman" w:cs="Times New Roman"/>
                <w:sz w:val="24"/>
                <w:szCs w:val="24"/>
              </w:rPr>
              <w:t xml:space="preserve">3) </w:t>
            </w:r>
            <w:r w:rsidRPr="004015C3">
              <w:rPr>
                <w:rFonts w:ascii="Times New Roman" w:hAnsi="Times New Roman" w:cs="Times New Roman"/>
                <w:b/>
                <w:bCs/>
                <w:sz w:val="24"/>
                <w:szCs w:val="24"/>
              </w:rPr>
              <w:t>иждивенец</w:t>
            </w:r>
            <w:r w:rsidRPr="004015C3">
              <w:rPr>
                <w:rFonts w:ascii="Times New Roman" w:hAnsi="Times New Roman" w:cs="Times New Roman"/>
                <w:sz w:val="24"/>
                <w:szCs w:val="24"/>
              </w:rPr>
              <w:t xml:space="preserve"> - близкий родственник налогоплательщика</w:t>
            </w:r>
            <w:r>
              <w:t xml:space="preserve">, </w:t>
            </w:r>
            <w:r w:rsidRPr="004015C3">
              <w:rPr>
                <w:rFonts w:ascii="Times New Roman" w:hAnsi="Times New Roman" w:cs="Times New Roman"/>
                <w:sz w:val="24"/>
                <w:szCs w:val="24"/>
              </w:rPr>
              <w:t>проживающий за счет его дохода, не имеющий дохода.</w:t>
            </w:r>
          </w:p>
          <w:p w14:paraId="27581449" w14:textId="77777777" w:rsidR="00D708F6" w:rsidRPr="00D152FE" w:rsidRDefault="00D708F6" w:rsidP="00D708F6">
            <w:pPr>
              <w:jc w:val="center"/>
              <w:rPr>
                <w:rFonts w:cs="Times New Roman"/>
                <w:b/>
                <w:szCs w:val="24"/>
              </w:rPr>
            </w:pPr>
          </w:p>
        </w:tc>
      </w:tr>
      <w:tr w:rsidR="00D708F6" w:rsidRPr="00D152FE" w14:paraId="60059199" w14:textId="77777777" w:rsidTr="004015C3">
        <w:tc>
          <w:tcPr>
            <w:tcW w:w="7280" w:type="dxa"/>
          </w:tcPr>
          <w:p w14:paraId="0CB0FC63" w14:textId="3D3D22AC" w:rsidR="00D708F6" w:rsidRPr="00D152FE" w:rsidRDefault="00D708F6" w:rsidP="00D708F6">
            <w:pPr>
              <w:jc w:val="center"/>
              <w:rPr>
                <w:rFonts w:cs="Times New Roman"/>
                <w:b/>
                <w:szCs w:val="24"/>
              </w:rPr>
            </w:pPr>
            <w:r>
              <w:rPr>
                <w:rFonts w:cs="Times New Roman"/>
                <w:b/>
                <w:szCs w:val="24"/>
              </w:rPr>
              <w:t>Отсутствует</w:t>
            </w:r>
          </w:p>
        </w:tc>
        <w:tc>
          <w:tcPr>
            <w:tcW w:w="7280" w:type="dxa"/>
            <w:gridSpan w:val="2"/>
          </w:tcPr>
          <w:p w14:paraId="7CCF2B77" w14:textId="2330B314" w:rsidR="00D708F6" w:rsidRPr="004015C3" w:rsidRDefault="00D708F6" w:rsidP="00D708F6">
            <w:pPr>
              <w:pStyle w:val="a3"/>
              <w:ind w:right="0" w:firstLine="851"/>
              <w:jc w:val="center"/>
              <w:rPr>
                <w:b/>
                <w:bCs/>
                <w:sz w:val="24"/>
                <w:szCs w:val="24"/>
                <w:lang w:val="ru-RU"/>
              </w:rPr>
            </w:pPr>
            <w:r w:rsidRPr="004015C3">
              <w:rPr>
                <w:b/>
                <w:bCs/>
                <w:sz w:val="24"/>
                <w:szCs w:val="24"/>
                <w:lang w:val="ru-RU"/>
              </w:rPr>
              <w:t>Глава 62</w:t>
            </w:r>
          </w:p>
          <w:p w14:paraId="32C37BB4" w14:textId="77777777" w:rsidR="00D708F6" w:rsidRPr="004015C3" w:rsidRDefault="00D708F6" w:rsidP="00D708F6">
            <w:pPr>
              <w:pStyle w:val="tkTekst"/>
              <w:spacing w:after="0"/>
              <w:jc w:val="center"/>
              <w:rPr>
                <w:rFonts w:ascii="Times New Roman" w:hAnsi="Times New Roman" w:cs="Times New Roman"/>
                <w:b/>
                <w:bCs/>
                <w:sz w:val="24"/>
                <w:szCs w:val="24"/>
              </w:rPr>
            </w:pPr>
            <w:r w:rsidRPr="004015C3">
              <w:rPr>
                <w:rFonts w:ascii="Times New Roman" w:hAnsi="Times New Roman" w:cs="Times New Roman"/>
                <w:b/>
                <w:bCs/>
                <w:sz w:val="24"/>
                <w:szCs w:val="24"/>
              </w:rPr>
              <w:t>Налоговый режим в области игорной деятельности</w:t>
            </w:r>
          </w:p>
          <w:p w14:paraId="106D6B74" w14:textId="77777777" w:rsidR="00D708F6" w:rsidRPr="004015C3" w:rsidRDefault="00D708F6" w:rsidP="00D708F6">
            <w:pPr>
              <w:pStyle w:val="tkTekst"/>
              <w:spacing w:after="0"/>
              <w:rPr>
                <w:rFonts w:ascii="Times New Roman" w:hAnsi="Times New Roman" w:cs="Times New Roman"/>
                <w:b/>
                <w:bCs/>
                <w:sz w:val="24"/>
                <w:szCs w:val="24"/>
              </w:rPr>
            </w:pPr>
          </w:p>
          <w:p w14:paraId="50C00A6B" w14:textId="7F6E16A8" w:rsidR="00D708F6" w:rsidRPr="004015C3" w:rsidRDefault="00D708F6" w:rsidP="00D708F6">
            <w:pPr>
              <w:pStyle w:val="tkTekst"/>
              <w:spacing w:after="0"/>
              <w:rPr>
                <w:rFonts w:ascii="Times New Roman" w:hAnsi="Times New Roman" w:cs="Times New Roman"/>
                <w:b/>
                <w:bCs/>
                <w:sz w:val="24"/>
                <w:szCs w:val="24"/>
              </w:rPr>
            </w:pPr>
            <w:r w:rsidRPr="004015C3">
              <w:rPr>
                <w:rFonts w:ascii="Times New Roman" w:hAnsi="Times New Roman" w:cs="Times New Roman"/>
                <w:b/>
                <w:bCs/>
                <w:sz w:val="24"/>
                <w:szCs w:val="24"/>
              </w:rPr>
              <w:t>Статья 45</w:t>
            </w:r>
            <w:r w:rsidRPr="004015C3">
              <w:rPr>
                <w:rFonts w:ascii="Times New Roman" w:hAnsi="Times New Roman" w:cs="Times New Roman"/>
                <w:b/>
                <w:bCs/>
                <w:sz w:val="24"/>
                <w:szCs w:val="24"/>
                <w:lang w:val="ky-KG"/>
              </w:rPr>
              <w:t>0</w:t>
            </w:r>
            <w:r w:rsidRPr="004015C3">
              <w:rPr>
                <w:rFonts w:ascii="Times New Roman" w:hAnsi="Times New Roman" w:cs="Times New Roman"/>
                <w:b/>
                <w:bCs/>
                <w:sz w:val="24"/>
                <w:szCs w:val="24"/>
              </w:rPr>
              <w:t>. Общие положения</w:t>
            </w:r>
          </w:p>
          <w:p w14:paraId="725C9D6F"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1. Налог на игорную деятельность предусматривает обязанность уплачивать данный налог в отношении деятельности, подлежащей обложению согласно настоящей главе, взамен:</w:t>
            </w:r>
          </w:p>
          <w:p w14:paraId="6610A11C"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1) налога на прибыль;</w:t>
            </w:r>
          </w:p>
          <w:p w14:paraId="27019DB1"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2) НДС на облагаемые поставки;</w:t>
            </w:r>
          </w:p>
          <w:p w14:paraId="040B6612"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3) налога с продаж.</w:t>
            </w:r>
          </w:p>
          <w:p w14:paraId="4457810D"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2. Юридические лица осуществляющие игорную деятельность, уплачивающие налог по осуществлению деятельности (далее в настоящей главе - налогоплательщики), обязаны уплачивать налоги, не указанные в части 1 настоящей статьи, в соответствии с настоящим Кодексом.</w:t>
            </w:r>
          </w:p>
          <w:p w14:paraId="6BFEB89F"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3. Налогоплательщик не освобождается от обязанностей налоговых агентов в случаях, установленных настоящим Кодексом.</w:t>
            </w:r>
          </w:p>
          <w:p w14:paraId="25FD90FE" w14:textId="70EA3069"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4. Налогоплательщики, занимающиеся иными видами деятельности, обязаны вести раздельный учет, представлять отчетность и уплачивать налоги по данным видам деятельности в порядке, установленном настоящим Кодексом. При этом расходы, произведенные в связи с осуществлением игорной деятельностью, не относятся на вычеты из совокупного годового дохода по другим видам деятельности.</w:t>
            </w:r>
          </w:p>
          <w:p w14:paraId="0BB0230A"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5. Налогоплательщик обязан подать заявление в налоговый орган как плательщик данного налога на игорную деятельность по месту налоговой регистрации.</w:t>
            </w:r>
          </w:p>
          <w:p w14:paraId="0AA61B60" w14:textId="77777777" w:rsidR="00D708F6" w:rsidRPr="004015C3" w:rsidRDefault="00D708F6" w:rsidP="00D708F6">
            <w:pPr>
              <w:pStyle w:val="tkTekst"/>
              <w:rPr>
                <w:rFonts w:ascii="Times New Roman" w:hAnsi="Times New Roman" w:cs="Times New Roman"/>
                <w:b/>
                <w:bCs/>
                <w:sz w:val="24"/>
                <w:szCs w:val="24"/>
              </w:rPr>
            </w:pPr>
          </w:p>
          <w:p w14:paraId="1AAC9519" w14:textId="000448B6"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Статья 451. Объект налогообложения</w:t>
            </w:r>
          </w:p>
          <w:p w14:paraId="69E094E7"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Объектом обложения налогом является деятельность, связанная с организацией, проведением и предоставлением возможности доступа к азартным играм в казино, на игровых автоматах, компьютерных симуляторах, в интерактивных заведениях, в электронном (виртуальном) казино, независимо от места расположения сервера.</w:t>
            </w:r>
          </w:p>
          <w:p w14:paraId="67BD644B" w14:textId="77777777" w:rsidR="00D708F6" w:rsidRPr="004015C3" w:rsidRDefault="00D708F6" w:rsidP="00D708F6">
            <w:pPr>
              <w:pStyle w:val="tkTekst"/>
              <w:rPr>
                <w:rFonts w:ascii="Times New Roman" w:hAnsi="Times New Roman" w:cs="Times New Roman"/>
                <w:b/>
                <w:bCs/>
                <w:sz w:val="24"/>
                <w:szCs w:val="24"/>
              </w:rPr>
            </w:pPr>
          </w:p>
          <w:p w14:paraId="67BD6D2E" w14:textId="4C7F91C1"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Статья 452. Налоговая база</w:t>
            </w:r>
          </w:p>
          <w:p w14:paraId="7F3CE409" w14:textId="6D67F6E0"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Базой обложения налогом на деятельность по организации, проведения и предоставления возможности доступа к азартным играм в казино, на игровых автоматах, компьютерных симуляторах, в интерактивных заведениях, в электронном (виртуальном) казино, независимо от места расположения сервера является разница между выручкой налогоплательщика и выплаченным участнику выигрышем.</w:t>
            </w:r>
          </w:p>
          <w:p w14:paraId="289E91D7" w14:textId="6BD3013D"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Статья 45. Ставки налога</w:t>
            </w:r>
          </w:p>
          <w:p w14:paraId="4C953EC3" w14:textId="48F318FB"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Ставка налога устанавливается в размере 10 процентов.</w:t>
            </w:r>
          </w:p>
          <w:p w14:paraId="1495A0A0" w14:textId="6B683311"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Статья 456. Налоговый период</w:t>
            </w:r>
          </w:p>
          <w:p w14:paraId="4B3FCF2D"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Налоговым периодом для налога на игорной деятельности является квартал.</w:t>
            </w:r>
          </w:p>
          <w:p w14:paraId="69FBBBE6" w14:textId="09741671"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Статья 457. Порядок исчисления налога</w:t>
            </w:r>
          </w:p>
          <w:p w14:paraId="1A3D23DE" w14:textId="128D5813"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Налогоплательщик исчисляет налог самостоятельно в соответствии с порядком, установленным статьей 43 настоящего Кодекса.</w:t>
            </w:r>
          </w:p>
          <w:p w14:paraId="3695CA40" w14:textId="6482562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Статья 458. Представление налоговой отчетности. Порядок и срок уплаты налога</w:t>
            </w:r>
          </w:p>
          <w:p w14:paraId="2B7CC17C"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1. Налогоплательщик обязан представлять:</w:t>
            </w:r>
          </w:p>
          <w:p w14:paraId="6C17696B"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1) налоговый отчет не позднее дня, следующего за 20 числом месяца, следующего за отчетным кварталом;</w:t>
            </w:r>
          </w:p>
          <w:p w14:paraId="593410A0"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2) единую налоговую декларацию в сроки, установленные статьей 106 настоящего Кодекса.</w:t>
            </w:r>
          </w:p>
          <w:p w14:paraId="3D6EB38D" w14:textId="77777777" w:rsidR="00D708F6" w:rsidRPr="004015C3" w:rsidRDefault="00D708F6" w:rsidP="00D708F6">
            <w:pPr>
              <w:pStyle w:val="tkTekst"/>
              <w:rPr>
                <w:rFonts w:ascii="Times New Roman" w:hAnsi="Times New Roman" w:cs="Times New Roman"/>
                <w:b/>
                <w:bCs/>
                <w:sz w:val="24"/>
                <w:szCs w:val="24"/>
              </w:rPr>
            </w:pPr>
            <w:r w:rsidRPr="004015C3">
              <w:rPr>
                <w:rFonts w:ascii="Times New Roman" w:hAnsi="Times New Roman" w:cs="Times New Roman"/>
                <w:b/>
                <w:bCs/>
                <w:sz w:val="24"/>
                <w:szCs w:val="24"/>
              </w:rPr>
              <w:t>2. Налогоплательщик обязан производить уплату налога ежеквартально, не позднее дня, следующего за 20 числом месяца, следующего за отчетным кварталом.</w:t>
            </w:r>
          </w:p>
          <w:p w14:paraId="5AEAF180" w14:textId="77777777" w:rsidR="00D708F6" w:rsidRPr="004015C3" w:rsidRDefault="00D708F6" w:rsidP="00D708F6">
            <w:pPr>
              <w:pStyle w:val="tkTekst"/>
              <w:rPr>
                <w:rFonts w:ascii="Times New Roman" w:hAnsi="Times New Roman" w:cs="Times New Roman"/>
                <w:b/>
                <w:bCs/>
                <w:sz w:val="24"/>
                <w:szCs w:val="24"/>
              </w:rPr>
            </w:pPr>
          </w:p>
          <w:p w14:paraId="023FAE12" w14:textId="77777777" w:rsidR="00D708F6" w:rsidRPr="004015C3" w:rsidRDefault="00D708F6" w:rsidP="00D708F6">
            <w:pPr>
              <w:pStyle w:val="tkTekst"/>
              <w:rPr>
                <w:rFonts w:ascii="Times New Roman" w:hAnsi="Times New Roman" w:cs="Times New Roman"/>
                <w:b/>
                <w:bCs/>
                <w:sz w:val="24"/>
                <w:szCs w:val="24"/>
              </w:rPr>
            </w:pPr>
          </w:p>
        </w:tc>
      </w:tr>
      <w:tr w:rsidR="00D708F6" w:rsidRPr="00D152FE" w14:paraId="0D1EB9D8" w14:textId="77777777" w:rsidTr="00EA70F1">
        <w:tc>
          <w:tcPr>
            <w:tcW w:w="14560" w:type="dxa"/>
            <w:gridSpan w:val="3"/>
          </w:tcPr>
          <w:p w14:paraId="7C601551" w14:textId="77777777" w:rsidR="00D708F6" w:rsidRPr="00D152FE" w:rsidRDefault="00D708F6" w:rsidP="00D708F6">
            <w:pPr>
              <w:jc w:val="center"/>
              <w:rPr>
                <w:rFonts w:cs="Times New Roman"/>
                <w:b/>
                <w:szCs w:val="24"/>
              </w:rPr>
            </w:pPr>
            <w:r w:rsidRPr="00D152FE">
              <w:rPr>
                <w:rFonts w:cs="Times New Roman"/>
                <w:b/>
                <w:szCs w:val="24"/>
              </w:rPr>
              <w:t>Закон Кыргызской Республики «О лицензионно-разрешительной системе в Кыргызской Республике»</w:t>
            </w:r>
          </w:p>
        </w:tc>
      </w:tr>
      <w:tr w:rsidR="00D708F6" w:rsidRPr="00D152FE" w14:paraId="120402FF" w14:textId="77777777" w:rsidTr="00EA70F1">
        <w:tc>
          <w:tcPr>
            <w:tcW w:w="7280" w:type="dxa"/>
          </w:tcPr>
          <w:p w14:paraId="4B5442AE" w14:textId="77777777" w:rsidR="00D708F6" w:rsidRPr="00D152FE" w:rsidRDefault="00D708F6" w:rsidP="00D708F6">
            <w:pPr>
              <w:pStyle w:val="tkZagolovok3"/>
              <w:rPr>
                <w:rFonts w:ascii="Times New Roman" w:hAnsi="Times New Roman" w:cs="Times New Roman"/>
              </w:rPr>
            </w:pPr>
            <w:r w:rsidRPr="00D152FE">
              <w:rPr>
                <w:rFonts w:ascii="Times New Roman" w:hAnsi="Times New Roman" w:cs="Times New Roman"/>
              </w:rPr>
              <w:t>Глава 2</w:t>
            </w:r>
            <w:r w:rsidRPr="00D152FE">
              <w:rPr>
                <w:rFonts w:ascii="Times New Roman" w:hAnsi="Times New Roman" w:cs="Times New Roman"/>
              </w:rPr>
              <w:br/>
              <w:t>Виды деятельности, подлежащие лицензированию</w:t>
            </w:r>
          </w:p>
          <w:p w14:paraId="7A8ED91C" w14:textId="77777777" w:rsidR="00D708F6" w:rsidRPr="00D152FE" w:rsidRDefault="00D708F6" w:rsidP="00D708F6">
            <w:pPr>
              <w:pStyle w:val="tkZagolovok5"/>
              <w:rPr>
                <w:rFonts w:ascii="Times New Roman" w:hAnsi="Times New Roman" w:cs="Times New Roman"/>
                <w:sz w:val="24"/>
                <w:szCs w:val="24"/>
              </w:rPr>
            </w:pPr>
            <w:bookmarkStart w:id="0" w:name="st_15"/>
            <w:bookmarkEnd w:id="0"/>
            <w:r w:rsidRPr="00D152FE">
              <w:rPr>
                <w:rFonts w:ascii="Times New Roman" w:hAnsi="Times New Roman" w:cs="Times New Roman"/>
                <w:sz w:val="24"/>
                <w:szCs w:val="24"/>
              </w:rPr>
              <w:t>Статья 15. Виды деятельности, подлежащие лицензированию</w:t>
            </w:r>
          </w:p>
          <w:p w14:paraId="552C0773"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Лицензированию подлежат следующие виды деятельности:</w:t>
            </w:r>
          </w:p>
          <w:p w14:paraId="15269F6C"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 производство, передача, распределение, продажа, экспорт и импорт электрической энергии (за исключением производства электрической энергии, получаемой в результате использования возобновляемых источников энергии, а также производства электрической энергии из любых источников энергии для собственного пользования при мощности до 1000 кВт);</w:t>
            </w:r>
          </w:p>
          <w:p w14:paraId="05BEA12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 производство, передача, распределение и продажа тепловой энергии (за исключением производства тепловой энергии, получаемой в результате использования возобновляемых источников энергии, а также производства тепловой энергии из любых источников энергии для собственного пользования);</w:t>
            </w:r>
          </w:p>
          <w:p w14:paraId="7D38B0AD"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3) переработка нефти и природного газа, за исключением производства в промышленных объемах биоэтанола из растительного сырья и его реализации;</w:t>
            </w:r>
          </w:p>
          <w:p w14:paraId="02DECB72"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4) производство, передача, распределение и продажа природного газа;</w:t>
            </w:r>
          </w:p>
          <w:p w14:paraId="382F8BC9"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5) производство и оборот этилового спирта;</w:t>
            </w:r>
          </w:p>
          <w:p w14:paraId="131280C8"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6) производство и оборот (хранение в целях производства или реализации, оптовая и розничная реализация) алкогольной продукции;</w:t>
            </w:r>
          </w:p>
          <w:p w14:paraId="47E32C3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7) медицинская деятельность, осуществляемая частными медицинскими учреждениями и индивидуальными предпринимателями (за исключением деятельности медицинских работников, работающих по найму или трудовому договору в частных медицинских учреждениях либо у индивидуальных предпринимателей);</w:t>
            </w:r>
          </w:p>
          <w:p w14:paraId="7123C5E4"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8) фармацевтическая деятельность;</w:t>
            </w:r>
          </w:p>
          <w:p w14:paraId="046BB777"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9) изготовление и реализация вакцин и сывороток в специализированных предприятиях в области ветеринарии;</w:t>
            </w:r>
          </w:p>
          <w:p w14:paraId="3369F89E"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10) работа с микроорганизмами II группы патогенности;</w:t>
            </w:r>
          </w:p>
          <w:p w14:paraId="03739B92"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11) деятельность в области электрической связи (за исключением операторов и служб внутренних или закрытых сетей электросвязи);</w:t>
            </w:r>
          </w:p>
          <w:p w14:paraId="0523DF2C"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12) деятельность в области почтовой связи;</w:t>
            </w:r>
          </w:p>
          <w:p w14:paraId="4C355820"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13) деятельность в области передачи данных (за исключением операторов и служб внутренних или закрытых сетей электросвязи);</w:t>
            </w:r>
          </w:p>
          <w:p w14:paraId="3582A5DB"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13-1) деятельность в области идентификации,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 а также устройств, используемых для передачи данных;</w:t>
            </w:r>
          </w:p>
          <w:p w14:paraId="7021A16A" w14:textId="77777777" w:rsidR="00D708F6" w:rsidRPr="00D152FE" w:rsidRDefault="00D708F6" w:rsidP="00D708F6">
            <w:pPr>
              <w:pStyle w:val="tkRedakcijaTekst"/>
              <w:rPr>
                <w:rFonts w:ascii="Times New Roman" w:hAnsi="Times New Roman" w:cs="Times New Roman"/>
                <w:sz w:val="24"/>
                <w:szCs w:val="24"/>
              </w:rPr>
            </w:pPr>
            <w:r w:rsidRPr="00D152FE">
              <w:rPr>
                <w:rFonts w:ascii="Times New Roman" w:hAnsi="Times New Roman" w:cs="Times New Roman"/>
                <w:sz w:val="24"/>
                <w:szCs w:val="24"/>
              </w:rPr>
              <w:t xml:space="preserve">14) (утратил силу в соответствии с </w:t>
            </w:r>
            <w:hyperlink r:id="rId4" w:history="1">
              <w:r w:rsidRPr="00D152FE">
                <w:rPr>
                  <w:rStyle w:val="a5"/>
                  <w:rFonts w:ascii="Times New Roman" w:hAnsi="Times New Roman" w:cs="Times New Roman"/>
                  <w:sz w:val="24"/>
                  <w:szCs w:val="24"/>
                </w:rPr>
                <w:t>Законом</w:t>
              </w:r>
            </w:hyperlink>
            <w:r w:rsidRPr="00D152FE">
              <w:rPr>
                <w:rFonts w:ascii="Times New Roman" w:hAnsi="Times New Roman" w:cs="Times New Roman"/>
                <w:sz w:val="24"/>
                <w:szCs w:val="24"/>
              </w:rPr>
              <w:t xml:space="preserve"> КР от 4 мая 2017 года </w:t>
            </w:r>
            <w:r w:rsidRPr="00D152FE">
              <w:rPr>
                <w:rFonts w:ascii="Times New Roman" w:hAnsi="Times New Roman" w:cs="Times New Roman"/>
                <w:sz w:val="24"/>
                <w:szCs w:val="24"/>
                <w:lang w:val="en-US"/>
              </w:rPr>
              <w:t>N</w:t>
            </w:r>
            <w:r w:rsidRPr="00D152FE">
              <w:rPr>
                <w:rFonts w:ascii="Times New Roman" w:hAnsi="Times New Roman" w:cs="Times New Roman"/>
                <w:sz w:val="24"/>
                <w:szCs w:val="24"/>
              </w:rPr>
              <w:t xml:space="preserve"> 75)</w:t>
            </w:r>
          </w:p>
          <w:p w14:paraId="553A5E10"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15) градостроительство, проектно-изыскательские работы жилых, общественных и производственных зданий и сооружений (объекты I, II, III категорий);</w:t>
            </w:r>
          </w:p>
          <w:p w14:paraId="3B375DB6"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16) строительно-монтажные работы, кроме строительства индивидуальных жилых домов (объекты I, II, III категорий);</w:t>
            </w:r>
          </w:p>
          <w:p w14:paraId="5612D70C"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17) пассажирские перевозки автомобильным транспортом (за исключением легковых такси);</w:t>
            </w:r>
          </w:p>
          <w:p w14:paraId="2BD0CF96"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18) международные грузовые перевозки автомобильным транспортом;</w:t>
            </w:r>
          </w:p>
          <w:p w14:paraId="04B87A5F" w14:textId="77777777" w:rsidR="00D708F6" w:rsidRPr="00D152FE" w:rsidRDefault="00D708F6" w:rsidP="00D708F6">
            <w:pPr>
              <w:pStyle w:val="tkRedakcijaTekst"/>
              <w:rPr>
                <w:rFonts w:ascii="Times New Roman" w:hAnsi="Times New Roman" w:cs="Times New Roman"/>
                <w:sz w:val="24"/>
                <w:szCs w:val="24"/>
              </w:rPr>
            </w:pPr>
            <w:r w:rsidRPr="00D152FE">
              <w:rPr>
                <w:rFonts w:ascii="Times New Roman" w:hAnsi="Times New Roman" w:cs="Times New Roman"/>
                <w:sz w:val="24"/>
                <w:szCs w:val="24"/>
              </w:rPr>
              <w:t xml:space="preserve">19) (утратил силу в соответствии с </w:t>
            </w:r>
            <w:hyperlink r:id="rId5" w:history="1">
              <w:r w:rsidRPr="00D152FE">
                <w:rPr>
                  <w:rStyle w:val="a5"/>
                  <w:rFonts w:ascii="Times New Roman" w:hAnsi="Times New Roman" w:cs="Times New Roman"/>
                  <w:sz w:val="24"/>
                  <w:szCs w:val="24"/>
                </w:rPr>
                <w:t>Законом</w:t>
              </w:r>
            </w:hyperlink>
            <w:r w:rsidRPr="00D152FE">
              <w:rPr>
                <w:rFonts w:ascii="Times New Roman" w:hAnsi="Times New Roman" w:cs="Times New Roman"/>
                <w:sz w:val="24"/>
                <w:szCs w:val="24"/>
              </w:rPr>
              <w:t xml:space="preserve"> КР от 21 января 2022 года </w:t>
            </w:r>
            <w:r w:rsidRPr="00D152FE">
              <w:rPr>
                <w:rFonts w:ascii="Times New Roman" w:hAnsi="Times New Roman" w:cs="Times New Roman"/>
                <w:sz w:val="24"/>
                <w:szCs w:val="24"/>
                <w:lang w:val="en-US"/>
              </w:rPr>
              <w:t>N</w:t>
            </w:r>
            <w:r w:rsidRPr="00D152FE">
              <w:rPr>
                <w:rFonts w:ascii="Times New Roman" w:hAnsi="Times New Roman" w:cs="Times New Roman"/>
                <w:sz w:val="24"/>
                <w:szCs w:val="24"/>
              </w:rPr>
              <w:t xml:space="preserve"> 11)</w:t>
            </w:r>
          </w:p>
          <w:p w14:paraId="343B4FED" w14:textId="77777777" w:rsidR="00D708F6" w:rsidRPr="00D152FE" w:rsidRDefault="00D708F6" w:rsidP="00D708F6">
            <w:pPr>
              <w:pStyle w:val="tkRedakcijaTekst"/>
              <w:rPr>
                <w:rFonts w:ascii="Times New Roman" w:hAnsi="Times New Roman" w:cs="Times New Roman"/>
                <w:sz w:val="24"/>
                <w:szCs w:val="24"/>
              </w:rPr>
            </w:pPr>
            <w:r w:rsidRPr="00D152FE">
              <w:rPr>
                <w:rFonts w:ascii="Times New Roman" w:hAnsi="Times New Roman" w:cs="Times New Roman"/>
                <w:sz w:val="24"/>
                <w:szCs w:val="24"/>
              </w:rPr>
              <w:t xml:space="preserve">20) (утратил силу в соответствии с </w:t>
            </w:r>
            <w:hyperlink r:id="rId6" w:history="1">
              <w:r w:rsidRPr="00D152FE">
                <w:rPr>
                  <w:rStyle w:val="a5"/>
                  <w:rFonts w:ascii="Times New Roman" w:hAnsi="Times New Roman" w:cs="Times New Roman"/>
                  <w:sz w:val="24"/>
                  <w:szCs w:val="24"/>
                </w:rPr>
                <w:t>Законом</w:t>
              </w:r>
            </w:hyperlink>
            <w:r w:rsidRPr="00D152FE">
              <w:rPr>
                <w:rFonts w:ascii="Times New Roman" w:hAnsi="Times New Roman" w:cs="Times New Roman"/>
                <w:sz w:val="24"/>
                <w:szCs w:val="24"/>
              </w:rPr>
              <w:t xml:space="preserve"> КР от 21 января 2022 года </w:t>
            </w:r>
            <w:r w:rsidRPr="00D152FE">
              <w:rPr>
                <w:rFonts w:ascii="Times New Roman" w:hAnsi="Times New Roman" w:cs="Times New Roman"/>
                <w:sz w:val="24"/>
                <w:szCs w:val="24"/>
                <w:lang w:val="en-US"/>
              </w:rPr>
              <w:t>N</w:t>
            </w:r>
            <w:r w:rsidRPr="00D152FE">
              <w:rPr>
                <w:rFonts w:ascii="Times New Roman" w:hAnsi="Times New Roman" w:cs="Times New Roman"/>
                <w:sz w:val="24"/>
                <w:szCs w:val="24"/>
              </w:rPr>
              <w:t xml:space="preserve"> 11)</w:t>
            </w:r>
          </w:p>
          <w:p w14:paraId="62760087"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21) пассажирские и (или) грузовые перевозки водным транспортом;</w:t>
            </w:r>
          </w:p>
          <w:p w14:paraId="63FF152E"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xml:space="preserve">22) проведение банковских операций в соответствии с абзацем вторым части 4 </w:t>
            </w:r>
            <w:hyperlink r:id="rId7" w:anchor="st_2" w:history="1">
              <w:r w:rsidRPr="00D152FE">
                <w:rPr>
                  <w:rStyle w:val="a5"/>
                  <w:rFonts w:ascii="Times New Roman" w:hAnsi="Times New Roman" w:cs="Times New Roman"/>
                  <w:sz w:val="24"/>
                  <w:szCs w:val="24"/>
                </w:rPr>
                <w:t>статьи 2</w:t>
              </w:r>
            </w:hyperlink>
            <w:r w:rsidRPr="00D152FE">
              <w:rPr>
                <w:rFonts w:ascii="Times New Roman" w:hAnsi="Times New Roman" w:cs="Times New Roman"/>
                <w:sz w:val="24"/>
                <w:szCs w:val="24"/>
              </w:rPr>
              <w:t xml:space="preserve"> настоящего Закона;</w:t>
            </w:r>
          </w:p>
          <w:p w14:paraId="4BDC7341"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23) деятельность кредитных союзов;</w:t>
            </w:r>
          </w:p>
          <w:p w14:paraId="633E73E1"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24) деятельность микрофинансовых компаний;</w:t>
            </w:r>
          </w:p>
          <w:p w14:paraId="6DF074D3"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25) деятельность ломбардов;</w:t>
            </w:r>
          </w:p>
          <w:p w14:paraId="3CBEA6AF"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26) проведение обменных операций с наличной иностранной валютой;</w:t>
            </w:r>
          </w:p>
          <w:p w14:paraId="790D4DEE"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26-1) деятельность кредитных бюро;</w:t>
            </w:r>
          </w:p>
          <w:p w14:paraId="0E7392CF"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26-2) деятельность жилищно-сберегательных кредитных компаний;</w:t>
            </w:r>
          </w:p>
          <w:p w14:paraId="02D3BFAF"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27) оказание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способах проведения платежей;</w:t>
            </w:r>
          </w:p>
          <w:p w14:paraId="106D3DB2"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28) оказание услуг по приему, обработке и выдаче финансовой информации (процессинг, клиринг) по платежам и расчетам третьих лиц участникам платежной системы, данного процессингового, клирингового центра;</w:t>
            </w:r>
          </w:p>
          <w:p w14:paraId="49E49415" w14:textId="77777777" w:rsidR="00D708F6" w:rsidRPr="00D152FE" w:rsidRDefault="00D708F6" w:rsidP="00D708F6">
            <w:pPr>
              <w:pStyle w:val="tkRedakcijaTekst"/>
              <w:rPr>
                <w:rFonts w:ascii="Times New Roman" w:hAnsi="Times New Roman" w:cs="Times New Roman"/>
                <w:sz w:val="24"/>
                <w:szCs w:val="24"/>
              </w:rPr>
            </w:pPr>
            <w:r w:rsidRPr="00D152FE">
              <w:rPr>
                <w:rFonts w:ascii="Times New Roman" w:hAnsi="Times New Roman" w:cs="Times New Roman"/>
                <w:sz w:val="24"/>
                <w:szCs w:val="24"/>
              </w:rPr>
              <w:t xml:space="preserve">29) (утратил силу в соответствии с </w:t>
            </w:r>
            <w:hyperlink r:id="rId8" w:history="1">
              <w:r w:rsidRPr="00D152FE">
                <w:rPr>
                  <w:rStyle w:val="a5"/>
                  <w:rFonts w:ascii="Times New Roman" w:hAnsi="Times New Roman" w:cs="Times New Roman"/>
                  <w:sz w:val="24"/>
                  <w:szCs w:val="24"/>
                </w:rPr>
                <w:t>Законом</w:t>
              </w:r>
            </w:hyperlink>
            <w:r w:rsidRPr="00D152FE">
              <w:rPr>
                <w:rFonts w:ascii="Times New Roman" w:hAnsi="Times New Roman" w:cs="Times New Roman"/>
                <w:sz w:val="24"/>
                <w:szCs w:val="24"/>
              </w:rPr>
              <w:t xml:space="preserve"> КР от 8 апреля 2015 года </w:t>
            </w:r>
            <w:r w:rsidRPr="00D152FE">
              <w:rPr>
                <w:rFonts w:ascii="Times New Roman" w:hAnsi="Times New Roman" w:cs="Times New Roman"/>
                <w:sz w:val="24"/>
                <w:szCs w:val="24"/>
                <w:lang w:val="en-US"/>
              </w:rPr>
              <w:t>N</w:t>
            </w:r>
            <w:r w:rsidRPr="00D152FE">
              <w:rPr>
                <w:rFonts w:ascii="Times New Roman" w:hAnsi="Times New Roman" w:cs="Times New Roman"/>
                <w:sz w:val="24"/>
                <w:szCs w:val="24"/>
              </w:rPr>
              <w:t xml:space="preserve"> 74);</w:t>
            </w:r>
          </w:p>
          <w:p w14:paraId="6111BFDF" w14:textId="77777777" w:rsidR="00D708F6" w:rsidRPr="00D152FE" w:rsidRDefault="00D708F6" w:rsidP="00D708F6">
            <w:pPr>
              <w:jc w:val="center"/>
              <w:rPr>
                <w:rFonts w:cs="Times New Roman"/>
                <w:szCs w:val="24"/>
              </w:rPr>
            </w:pPr>
          </w:p>
        </w:tc>
        <w:tc>
          <w:tcPr>
            <w:tcW w:w="7280" w:type="dxa"/>
            <w:gridSpan w:val="2"/>
          </w:tcPr>
          <w:p w14:paraId="00FAAA7A" w14:textId="77777777" w:rsidR="00D708F6" w:rsidRPr="00D152FE" w:rsidRDefault="00D708F6" w:rsidP="00D708F6">
            <w:pPr>
              <w:pStyle w:val="tkZagolovok3"/>
              <w:rPr>
                <w:rFonts w:ascii="Times New Roman" w:hAnsi="Times New Roman" w:cs="Times New Roman"/>
              </w:rPr>
            </w:pPr>
            <w:r w:rsidRPr="00D152FE">
              <w:rPr>
                <w:rFonts w:ascii="Times New Roman" w:hAnsi="Times New Roman" w:cs="Times New Roman"/>
              </w:rPr>
              <w:t>Глава 2</w:t>
            </w:r>
            <w:r w:rsidRPr="00D152FE">
              <w:rPr>
                <w:rFonts w:ascii="Times New Roman" w:hAnsi="Times New Roman" w:cs="Times New Roman"/>
              </w:rPr>
              <w:br/>
              <w:t>Виды деятельности, подлежащие лицензированию</w:t>
            </w:r>
          </w:p>
          <w:p w14:paraId="2B6AC358" w14:textId="77777777" w:rsidR="00D708F6" w:rsidRPr="00D152FE" w:rsidRDefault="00D708F6" w:rsidP="00D708F6">
            <w:pPr>
              <w:pStyle w:val="tkZagolovok5"/>
              <w:rPr>
                <w:rFonts w:ascii="Times New Roman" w:hAnsi="Times New Roman" w:cs="Times New Roman"/>
                <w:sz w:val="24"/>
                <w:szCs w:val="24"/>
              </w:rPr>
            </w:pPr>
            <w:r w:rsidRPr="00D152FE">
              <w:rPr>
                <w:rFonts w:ascii="Times New Roman" w:hAnsi="Times New Roman" w:cs="Times New Roman"/>
                <w:sz w:val="24"/>
                <w:szCs w:val="24"/>
              </w:rPr>
              <w:t>Статья 15. Виды деятельности, подлежащие лицензированию</w:t>
            </w:r>
          </w:p>
          <w:p w14:paraId="39D4C337"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Лицензированию подлежат следующие виды деятельности:</w:t>
            </w:r>
          </w:p>
          <w:p w14:paraId="3251D57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 производство, передача, распределение, продажа, экспорт и импорт электрической энергии (за исключением производства электрической энергии, получаемой в результате использования возобновляемых источников энергии, а также производства электрической энергии из любых источников энергии для собственного пользования при мощности до 1000 кВт);</w:t>
            </w:r>
          </w:p>
          <w:p w14:paraId="0876BBC7"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 производство, передача, распределение и продажа тепловой энергии (за исключением производства тепловой энергии, получаемой в результате использования возобновляемых источников энергии, а также производства тепловой энергии из любых источников энергии для собственного пользования);</w:t>
            </w:r>
          </w:p>
          <w:p w14:paraId="4E0E85B4"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3) переработка нефти и природного газа, за исключением производства в промышленных объемах биоэтанола из растительного сырья и его реализации;</w:t>
            </w:r>
          </w:p>
          <w:p w14:paraId="1E2C1E03"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4) производство, передача, распределение и продажа природного газа;</w:t>
            </w:r>
          </w:p>
          <w:p w14:paraId="1D8827D8"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5) производство и оборот этилового спирта;</w:t>
            </w:r>
          </w:p>
          <w:p w14:paraId="0B6D3947"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6) производство и оборот (хранение в целях производства или реализации, оптовая и розничная реализация) алкогольной продукции;</w:t>
            </w:r>
          </w:p>
          <w:p w14:paraId="783B07EB"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7) медицинская деятельность, осуществляемая частными медицинскими учреждениями и индивидуальными предпринимателями (за исключением деятельности медицинских работников, работающих по найму или трудовому договору в частных медицинских учреждениях либо у индивидуальных предпринимателей);</w:t>
            </w:r>
          </w:p>
          <w:p w14:paraId="0BABCC3E"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8) фармацевтическая деятельность;</w:t>
            </w:r>
          </w:p>
          <w:p w14:paraId="58C72264"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9) изготовление и реализация вакцин и сывороток в специализированных предприятиях в области ветеринарии;</w:t>
            </w:r>
          </w:p>
          <w:p w14:paraId="6A7F352F"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10) работа с микроорганизмами II группы патогенности;</w:t>
            </w:r>
          </w:p>
          <w:p w14:paraId="2D284AA1"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11) деятельность в области электрической связи (за исключением операторов и служб внутренних или закрытых сетей электросвязи);</w:t>
            </w:r>
          </w:p>
          <w:p w14:paraId="7DC3D44E"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12) деятельность в области почтовой связи;</w:t>
            </w:r>
          </w:p>
          <w:p w14:paraId="5CB4C206"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13) деятельность в области передачи данных (за исключением операторов и служб внутренних или закрытых сетей электросвязи);</w:t>
            </w:r>
          </w:p>
          <w:p w14:paraId="1D844C9A"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13-1) деятельность в области идентификации,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 а также устройств, используемых для передачи данных;</w:t>
            </w:r>
          </w:p>
          <w:p w14:paraId="777B836A" w14:textId="77777777" w:rsidR="00D708F6" w:rsidRPr="00D152FE" w:rsidRDefault="00D708F6" w:rsidP="00D708F6">
            <w:pPr>
              <w:pStyle w:val="tkRedakcijaTekst"/>
              <w:rPr>
                <w:rFonts w:ascii="Times New Roman" w:hAnsi="Times New Roman" w:cs="Times New Roman"/>
                <w:sz w:val="24"/>
                <w:szCs w:val="24"/>
              </w:rPr>
            </w:pPr>
            <w:r w:rsidRPr="00D152FE">
              <w:rPr>
                <w:rFonts w:ascii="Times New Roman" w:hAnsi="Times New Roman" w:cs="Times New Roman"/>
                <w:sz w:val="24"/>
                <w:szCs w:val="24"/>
              </w:rPr>
              <w:t xml:space="preserve">14) (утратил силу в соответствии с </w:t>
            </w:r>
            <w:hyperlink r:id="rId9" w:history="1">
              <w:r w:rsidRPr="00D152FE">
                <w:rPr>
                  <w:rStyle w:val="a5"/>
                  <w:rFonts w:ascii="Times New Roman" w:hAnsi="Times New Roman" w:cs="Times New Roman"/>
                  <w:sz w:val="24"/>
                  <w:szCs w:val="24"/>
                </w:rPr>
                <w:t>Законом</w:t>
              </w:r>
            </w:hyperlink>
            <w:r w:rsidRPr="00D152FE">
              <w:rPr>
                <w:rFonts w:ascii="Times New Roman" w:hAnsi="Times New Roman" w:cs="Times New Roman"/>
                <w:sz w:val="24"/>
                <w:szCs w:val="24"/>
              </w:rPr>
              <w:t xml:space="preserve"> КР от 4 мая 2017 года </w:t>
            </w:r>
            <w:r w:rsidRPr="00D152FE">
              <w:rPr>
                <w:rFonts w:ascii="Times New Roman" w:hAnsi="Times New Roman" w:cs="Times New Roman"/>
                <w:sz w:val="24"/>
                <w:szCs w:val="24"/>
                <w:lang w:val="en-US"/>
              </w:rPr>
              <w:t>N</w:t>
            </w:r>
            <w:r w:rsidRPr="00D152FE">
              <w:rPr>
                <w:rFonts w:ascii="Times New Roman" w:hAnsi="Times New Roman" w:cs="Times New Roman"/>
                <w:sz w:val="24"/>
                <w:szCs w:val="24"/>
              </w:rPr>
              <w:t xml:space="preserve"> 75)</w:t>
            </w:r>
          </w:p>
          <w:p w14:paraId="586D60AF"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15) градостроительство, проектно-изыскательские работы жилых, общественных и производственных зданий и сооружений (объекты I, II, III категорий);</w:t>
            </w:r>
          </w:p>
          <w:p w14:paraId="7722F80E"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16) строительно-монтажные работы, кроме строительства индивидуальных жилых домов (объекты I, II, III категорий);</w:t>
            </w:r>
          </w:p>
          <w:p w14:paraId="1393332A"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17) пассажирские перевозки автомобильным транспортом (за исключением легковых такси);</w:t>
            </w:r>
          </w:p>
          <w:p w14:paraId="111E9253"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18) международные грузовые перевозки автомобильным транспортом;</w:t>
            </w:r>
          </w:p>
          <w:p w14:paraId="5CE0393E" w14:textId="77777777" w:rsidR="00D708F6" w:rsidRPr="00D152FE" w:rsidRDefault="00D708F6" w:rsidP="00D708F6">
            <w:pPr>
              <w:pStyle w:val="tkRedakcijaTekst"/>
              <w:rPr>
                <w:rFonts w:ascii="Times New Roman" w:hAnsi="Times New Roman" w:cs="Times New Roman"/>
                <w:sz w:val="24"/>
                <w:szCs w:val="24"/>
              </w:rPr>
            </w:pPr>
            <w:r w:rsidRPr="00D152FE">
              <w:rPr>
                <w:rFonts w:ascii="Times New Roman" w:hAnsi="Times New Roman" w:cs="Times New Roman"/>
                <w:sz w:val="24"/>
                <w:szCs w:val="24"/>
              </w:rPr>
              <w:t xml:space="preserve">19) (утратил силу в соответствии с </w:t>
            </w:r>
            <w:hyperlink r:id="rId10" w:history="1">
              <w:r w:rsidRPr="00D152FE">
                <w:rPr>
                  <w:rStyle w:val="a5"/>
                  <w:rFonts w:ascii="Times New Roman" w:hAnsi="Times New Roman" w:cs="Times New Roman"/>
                  <w:sz w:val="24"/>
                  <w:szCs w:val="24"/>
                </w:rPr>
                <w:t>Законом</w:t>
              </w:r>
            </w:hyperlink>
            <w:r w:rsidRPr="00D152FE">
              <w:rPr>
                <w:rFonts w:ascii="Times New Roman" w:hAnsi="Times New Roman" w:cs="Times New Roman"/>
                <w:sz w:val="24"/>
                <w:szCs w:val="24"/>
              </w:rPr>
              <w:t xml:space="preserve"> КР от 21 января 2022 года </w:t>
            </w:r>
            <w:r w:rsidRPr="00D152FE">
              <w:rPr>
                <w:rFonts w:ascii="Times New Roman" w:hAnsi="Times New Roman" w:cs="Times New Roman"/>
                <w:sz w:val="24"/>
                <w:szCs w:val="24"/>
                <w:lang w:val="en-US"/>
              </w:rPr>
              <w:t>N</w:t>
            </w:r>
            <w:r w:rsidRPr="00D152FE">
              <w:rPr>
                <w:rFonts w:ascii="Times New Roman" w:hAnsi="Times New Roman" w:cs="Times New Roman"/>
                <w:sz w:val="24"/>
                <w:szCs w:val="24"/>
              </w:rPr>
              <w:t xml:space="preserve"> 11)</w:t>
            </w:r>
          </w:p>
          <w:p w14:paraId="2100D71E" w14:textId="77777777" w:rsidR="00D708F6" w:rsidRPr="00D152FE" w:rsidRDefault="00D708F6" w:rsidP="00D708F6">
            <w:pPr>
              <w:pStyle w:val="tkRedakcijaTekst"/>
              <w:rPr>
                <w:rFonts w:ascii="Times New Roman" w:hAnsi="Times New Roman" w:cs="Times New Roman"/>
                <w:sz w:val="24"/>
                <w:szCs w:val="24"/>
              </w:rPr>
            </w:pPr>
            <w:r w:rsidRPr="00D152FE">
              <w:rPr>
                <w:rFonts w:ascii="Times New Roman" w:hAnsi="Times New Roman" w:cs="Times New Roman"/>
                <w:sz w:val="24"/>
                <w:szCs w:val="24"/>
              </w:rPr>
              <w:t xml:space="preserve">20) (утратил силу в соответствии с </w:t>
            </w:r>
            <w:hyperlink r:id="rId11" w:history="1">
              <w:r w:rsidRPr="00D152FE">
                <w:rPr>
                  <w:rStyle w:val="a5"/>
                  <w:rFonts w:ascii="Times New Roman" w:hAnsi="Times New Roman" w:cs="Times New Roman"/>
                  <w:sz w:val="24"/>
                  <w:szCs w:val="24"/>
                </w:rPr>
                <w:t>Законом</w:t>
              </w:r>
            </w:hyperlink>
            <w:r w:rsidRPr="00D152FE">
              <w:rPr>
                <w:rFonts w:ascii="Times New Roman" w:hAnsi="Times New Roman" w:cs="Times New Roman"/>
                <w:sz w:val="24"/>
                <w:szCs w:val="24"/>
              </w:rPr>
              <w:t xml:space="preserve"> КР от 21 января 2022 года </w:t>
            </w:r>
            <w:r w:rsidRPr="00D152FE">
              <w:rPr>
                <w:rFonts w:ascii="Times New Roman" w:hAnsi="Times New Roman" w:cs="Times New Roman"/>
                <w:sz w:val="24"/>
                <w:szCs w:val="24"/>
                <w:lang w:val="en-US"/>
              </w:rPr>
              <w:t>N</w:t>
            </w:r>
            <w:r w:rsidRPr="00D152FE">
              <w:rPr>
                <w:rFonts w:ascii="Times New Roman" w:hAnsi="Times New Roman" w:cs="Times New Roman"/>
                <w:sz w:val="24"/>
                <w:szCs w:val="24"/>
              </w:rPr>
              <w:t xml:space="preserve"> 11)</w:t>
            </w:r>
          </w:p>
          <w:p w14:paraId="38495A56"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21) пассажирские и (или) грузовые перевозки водным транспортом;</w:t>
            </w:r>
          </w:p>
          <w:p w14:paraId="711B772C"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xml:space="preserve">22) проведение банковских операций в соответствии с абзацем вторым части 4 </w:t>
            </w:r>
            <w:hyperlink r:id="rId12" w:anchor="st_2" w:history="1">
              <w:r w:rsidRPr="00D152FE">
                <w:rPr>
                  <w:rStyle w:val="a5"/>
                  <w:rFonts w:ascii="Times New Roman" w:hAnsi="Times New Roman" w:cs="Times New Roman"/>
                  <w:sz w:val="24"/>
                  <w:szCs w:val="24"/>
                </w:rPr>
                <w:t>статьи 2</w:t>
              </w:r>
            </w:hyperlink>
            <w:r w:rsidRPr="00D152FE">
              <w:rPr>
                <w:rFonts w:ascii="Times New Roman" w:hAnsi="Times New Roman" w:cs="Times New Roman"/>
                <w:sz w:val="24"/>
                <w:szCs w:val="24"/>
              </w:rPr>
              <w:t xml:space="preserve"> настоящего Закона;</w:t>
            </w:r>
          </w:p>
          <w:p w14:paraId="45B7BC5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23) деятельность кредитных союзов;</w:t>
            </w:r>
          </w:p>
          <w:p w14:paraId="34C0F1B4"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24) деятельность микрофинансовых компаний;</w:t>
            </w:r>
          </w:p>
          <w:p w14:paraId="690564A6"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25) деятельность ломбардов;</w:t>
            </w:r>
          </w:p>
          <w:p w14:paraId="0EF3217B"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26) проведение обменных операций с наличной иностранной валютой;</w:t>
            </w:r>
          </w:p>
          <w:p w14:paraId="205811C0"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26-1) деятельность кредитных бюро;</w:t>
            </w:r>
          </w:p>
          <w:p w14:paraId="6DADB0B7"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26-2) деятельность жилищно-сберегательных кредитных компаний;</w:t>
            </w:r>
          </w:p>
          <w:p w14:paraId="3B613EA3"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27) оказание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способах проведения платежей;</w:t>
            </w:r>
          </w:p>
          <w:p w14:paraId="1CACCB42"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28) оказание услуг по приему, обработке и выдаче финансовой информации (процессинг, клиринг) по платежам и расчетам третьих лиц участникам платежной системы, данного процессингового, клирингового центра;</w:t>
            </w:r>
          </w:p>
          <w:p w14:paraId="2BFE66DD" w14:textId="77777777" w:rsidR="00D708F6" w:rsidRPr="00D152FE" w:rsidRDefault="00D708F6" w:rsidP="00D708F6">
            <w:pPr>
              <w:pStyle w:val="tkRedakcijaTekst"/>
              <w:rPr>
                <w:rFonts w:ascii="Times New Roman" w:hAnsi="Times New Roman" w:cs="Times New Roman"/>
                <w:sz w:val="24"/>
                <w:szCs w:val="24"/>
              </w:rPr>
            </w:pPr>
            <w:r w:rsidRPr="00D152FE">
              <w:rPr>
                <w:rFonts w:ascii="Times New Roman" w:hAnsi="Times New Roman" w:cs="Times New Roman"/>
                <w:sz w:val="24"/>
                <w:szCs w:val="24"/>
              </w:rPr>
              <w:t xml:space="preserve">29) (утратил силу в соответствии с </w:t>
            </w:r>
            <w:hyperlink r:id="rId13" w:history="1">
              <w:r w:rsidRPr="00D152FE">
                <w:rPr>
                  <w:rStyle w:val="a5"/>
                  <w:rFonts w:ascii="Times New Roman" w:hAnsi="Times New Roman" w:cs="Times New Roman"/>
                  <w:sz w:val="24"/>
                  <w:szCs w:val="24"/>
                </w:rPr>
                <w:t>Законом</w:t>
              </w:r>
            </w:hyperlink>
            <w:r w:rsidRPr="00D152FE">
              <w:rPr>
                <w:rFonts w:ascii="Times New Roman" w:hAnsi="Times New Roman" w:cs="Times New Roman"/>
                <w:sz w:val="24"/>
                <w:szCs w:val="24"/>
              </w:rPr>
              <w:t xml:space="preserve"> КР от 8 апреля 2015 года </w:t>
            </w:r>
            <w:r w:rsidRPr="00D152FE">
              <w:rPr>
                <w:rFonts w:ascii="Times New Roman" w:hAnsi="Times New Roman" w:cs="Times New Roman"/>
                <w:sz w:val="24"/>
                <w:szCs w:val="24"/>
                <w:lang w:val="en-US"/>
              </w:rPr>
              <w:t>N</w:t>
            </w:r>
            <w:r w:rsidRPr="00D152FE">
              <w:rPr>
                <w:rFonts w:ascii="Times New Roman" w:hAnsi="Times New Roman" w:cs="Times New Roman"/>
                <w:sz w:val="24"/>
                <w:szCs w:val="24"/>
              </w:rPr>
              <w:t xml:space="preserve"> 74);</w:t>
            </w:r>
          </w:p>
          <w:p w14:paraId="59BCF57D" w14:textId="77777777" w:rsidR="00D708F6" w:rsidRDefault="00D708F6" w:rsidP="00D708F6">
            <w:pPr>
              <w:ind w:firstLine="545"/>
              <w:jc w:val="both"/>
              <w:rPr>
                <w:rFonts w:cs="Times New Roman"/>
                <w:b/>
                <w:szCs w:val="24"/>
              </w:rPr>
            </w:pPr>
            <w:r w:rsidRPr="00D152FE">
              <w:rPr>
                <w:rFonts w:cs="Times New Roman"/>
                <w:b/>
                <w:szCs w:val="24"/>
              </w:rPr>
              <w:t>29</w:t>
            </w:r>
            <w:r w:rsidRPr="004015C3">
              <w:rPr>
                <w:rFonts w:cs="Times New Roman"/>
                <w:b/>
                <w:szCs w:val="24"/>
                <w:vertAlign w:val="superscript"/>
              </w:rPr>
              <w:t>1</w:t>
            </w:r>
            <w:r w:rsidRPr="00D152FE">
              <w:rPr>
                <w:rFonts w:cs="Times New Roman"/>
                <w:b/>
                <w:szCs w:val="24"/>
              </w:rPr>
              <w:t>) деятельность, осуществляемая в соответствии с Законом Кыргызской Республики «Об игорной деятельности в Кыргызской Республике»</w:t>
            </w:r>
          </w:p>
          <w:p w14:paraId="76E6DEF3" w14:textId="77777777" w:rsidR="00D708F6" w:rsidRPr="00D152FE" w:rsidRDefault="00D708F6" w:rsidP="00D708F6">
            <w:pPr>
              <w:ind w:firstLine="545"/>
              <w:jc w:val="both"/>
              <w:rPr>
                <w:rFonts w:cs="Times New Roman"/>
                <w:b/>
                <w:szCs w:val="24"/>
              </w:rPr>
            </w:pPr>
            <w:bookmarkStart w:id="1" w:name="_GoBack"/>
            <w:bookmarkEnd w:id="1"/>
          </w:p>
        </w:tc>
      </w:tr>
      <w:tr w:rsidR="00D708F6" w:rsidRPr="00D152FE" w14:paraId="5320AB65" w14:textId="77777777" w:rsidTr="00EA70F1">
        <w:tc>
          <w:tcPr>
            <w:tcW w:w="14560" w:type="dxa"/>
            <w:gridSpan w:val="3"/>
          </w:tcPr>
          <w:p w14:paraId="3EF3A7B6" w14:textId="77777777" w:rsidR="00D708F6" w:rsidRPr="00D152FE" w:rsidRDefault="00D708F6" w:rsidP="00D708F6">
            <w:pPr>
              <w:jc w:val="center"/>
              <w:rPr>
                <w:rFonts w:cs="Times New Roman"/>
                <w:b/>
                <w:szCs w:val="24"/>
              </w:rPr>
            </w:pPr>
            <w:r w:rsidRPr="00D152FE">
              <w:rPr>
                <w:rFonts w:cs="Times New Roman"/>
                <w:b/>
                <w:szCs w:val="24"/>
              </w:rPr>
              <w:t>Закон Кыргызской Республики «О рекламе»</w:t>
            </w:r>
          </w:p>
          <w:p w14:paraId="2475B800" w14:textId="77777777" w:rsidR="00D708F6" w:rsidRPr="00D152FE" w:rsidRDefault="00D708F6" w:rsidP="00D708F6">
            <w:pPr>
              <w:jc w:val="center"/>
              <w:rPr>
                <w:rFonts w:cs="Times New Roman"/>
                <w:b/>
                <w:szCs w:val="24"/>
              </w:rPr>
            </w:pPr>
          </w:p>
        </w:tc>
      </w:tr>
      <w:tr w:rsidR="00D708F6" w:rsidRPr="00D152FE" w14:paraId="56A38E49" w14:textId="77777777" w:rsidTr="00EA70F1">
        <w:tc>
          <w:tcPr>
            <w:tcW w:w="7280" w:type="dxa"/>
          </w:tcPr>
          <w:p w14:paraId="275C21E7" w14:textId="77777777" w:rsidR="00D708F6" w:rsidRPr="00D152FE" w:rsidRDefault="00D708F6" w:rsidP="00D708F6">
            <w:pPr>
              <w:pStyle w:val="tkZagolovok5"/>
              <w:rPr>
                <w:rFonts w:ascii="Times New Roman" w:hAnsi="Times New Roman" w:cs="Times New Roman"/>
                <w:sz w:val="24"/>
                <w:szCs w:val="24"/>
              </w:rPr>
            </w:pPr>
            <w:r w:rsidRPr="00D152FE">
              <w:rPr>
                <w:rFonts w:ascii="Times New Roman" w:hAnsi="Times New Roman" w:cs="Times New Roman"/>
                <w:sz w:val="24"/>
                <w:szCs w:val="24"/>
              </w:rPr>
              <w:t>Статья 16. Особенности рекламы отдельных видов товаров</w:t>
            </w:r>
          </w:p>
          <w:p w14:paraId="148D5717"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 Реклама алкогольной продукции, распространяемая любыми способами, не должна:</w:t>
            </w:r>
          </w:p>
          <w:p w14:paraId="0D52BB5D"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распространяться в наружной рекламе;</w:t>
            </w:r>
          </w:p>
          <w:p w14:paraId="39EAA67E"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xml:space="preserve">- распространяться до, во время или после демонстрации фильмов при кино- и </w:t>
            </w:r>
            <w:proofErr w:type="spellStart"/>
            <w:r w:rsidRPr="00D152FE">
              <w:rPr>
                <w:rFonts w:ascii="Times New Roman" w:hAnsi="Times New Roman" w:cs="Times New Roman"/>
                <w:sz w:val="24"/>
                <w:szCs w:val="24"/>
              </w:rPr>
              <w:t>видеообслуживании</w:t>
            </w:r>
            <w:proofErr w:type="spellEnd"/>
            <w:r w:rsidRPr="00D152FE">
              <w:rPr>
                <w:rFonts w:ascii="Times New Roman" w:hAnsi="Times New Roman" w:cs="Times New Roman"/>
                <w:sz w:val="24"/>
                <w:szCs w:val="24"/>
              </w:rPr>
              <w:t>, если аудитория такого обслуживания не ограничена лицами, достигшими совершеннолетия;</w:t>
            </w:r>
          </w:p>
          <w:p w14:paraId="7A020317"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содержать демонстрацию процессов потребления алкогольной продукции и создавать впечатление, что употребление алкогольной продукции имеет важное значение для достижения общественного, спортивного или личного успеха либо улучшения физического или психического состояния;</w:t>
            </w:r>
          </w:p>
          <w:p w14:paraId="3A3D88F6"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дискредитировать воздержание от употребления алкогольной продукции, содержать информацию о положительных терапевтических свойствах алкогольной продукции и представлять их высокое содержание в продукте как достоинство;</w:t>
            </w:r>
          </w:p>
          <w:p w14:paraId="65BC05BB"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обращаться непосредственно к несовершеннолетним, использовать образы лиц в возрасте до 35 лет, а также высказывания или участие лиц, пользующихся популярностью у лиц в возрасте до 21 года;</w:t>
            </w:r>
          </w:p>
          <w:p w14:paraId="7934B1E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xml:space="preserve">- распространяться в радио- и телепередачах, при кино- и </w:t>
            </w:r>
            <w:proofErr w:type="spellStart"/>
            <w:r w:rsidRPr="00D152FE">
              <w:rPr>
                <w:rFonts w:ascii="Times New Roman" w:hAnsi="Times New Roman" w:cs="Times New Roman"/>
                <w:sz w:val="24"/>
                <w:szCs w:val="24"/>
              </w:rPr>
              <w:t>видеообслуживании</w:t>
            </w:r>
            <w:proofErr w:type="spellEnd"/>
            <w:r w:rsidRPr="00D152FE">
              <w:rPr>
                <w:rFonts w:ascii="Times New Roman" w:hAnsi="Times New Roman" w:cs="Times New Roman"/>
                <w:sz w:val="24"/>
                <w:szCs w:val="24"/>
              </w:rPr>
              <w:t>, в печатных изданиях для несовершеннолетних;</w:t>
            </w:r>
          </w:p>
          <w:p w14:paraId="75998BA9"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распространяться на первой и последней полосах газет, а также на первой и последней страницах и обложках журналов;</w:t>
            </w:r>
          </w:p>
          <w:p w14:paraId="1E8FBAC6"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распространяться в общественном транспорте, в государственных, детских, учебных, медицинских, спортивных, культурных организациях, скверах и на площадях городов, а также на объектах, расположенных не менее чем в 200 метрах от них;</w:t>
            </w:r>
          </w:p>
          <w:p w14:paraId="0AFCF27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приводить информацию о характеристике рекламируемого товара, содержащую сведения о составе и способе изготовления, вкусовых свойствах, и при этом сообщать, что рекламируемый товар менее вреден (безвреден);</w:t>
            </w:r>
          </w:p>
          <w:p w14:paraId="24EE32A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использовать людей, животных, их любые образы, в том числе кукольные, мультипликационные, компьютерные;</w:t>
            </w:r>
          </w:p>
          <w:p w14:paraId="6119A9FF"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использовать тенты, шатры, зонты (в том числе сезонные), на внешнюю сторону которых нанесены названия алкогольной продукции и (или) табачных изделий;</w:t>
            </w:r>
          </w:p>
          <w:p w14:paraId="309B9579"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использовать термины, применяемые в области медицины;</w:t>
            </w:r>
          </w:p>
          <w:p w14:paraId="5BC203C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использовать товарные знаки, торговые марки, "бренды", зонтичные "бренды", известные ранее наименования алкогольной продукции.</w:t>
            </w:r>
          </w:p>
          <w:p w14:paraId="3D177AFA"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Запрещается:</w:t>
            </w:r>
          </w:p>
          <w:p w14:paraId="48D59D90"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безвозмездное распространение и (или) продажа за символическую плату образцов алкогольной продукции в целях рекламы в общественных местах, в том числе среди несовершеннолетних, а также в местах, вход в которые несовершеннолетним лицам не запрещен;</w:t>
            </w:r>
          </w:p>
          <w:p w14:paraId="460A87DC"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спонсирование мероприятий, предназначенных преимущественно для несовершеннолетних, если при этом используются название, изображение или товарный знак производителей алкогольной продукции;</w:t>
            </w:r>
          </w:p>
          <w:p w14:paraId="1D0AE801"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распространение, в том числе продажа, широкому кругу лиц товаров, не имеющих отношения к процессу потребления алкогольной продукции (футболки, головные уборы, зонты, сумки), на внешнюю сторону которых нанесены названия или изображения алкогольной продукции. Исключение составляют пепельницы, зажигалки, коробки спичек, подносы, посуда, предназначенная для алкогольной продукции, на внешнюю сторону которых нанесены названия или изображения алкогольных изделий и (или) товарных знаков и логотипов, в барах, ресторанах, кафе, гостиницах и других подобных заведениях, а также транспортные средства, используемые для распространения алкогольной продукции и розничной торговли ими. Предупреждение о вреде употребления алкогольной продукции на таких предметах не требуется;</w:t>
            </w:r>
          </w:p>
          <w:p w14:paraId="4673231D"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реклама алкогольной продукции в информационно-телекоммуникационной сети Интернет.</w:t>
            </w:r>
          </w:p>
          <w:p w14:paraId="4A16E494"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Реклама алкогольной продукции на радио и телевидении с 7-00 до 24-00 часов запрещается.</w:t>
            </w:r>
          </w:p>
          <w:p w14:paraId="6B4BE1D2"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 Распространение рекламы алкогольной продукции должно сопровождаться текстами, предупреждающими:</w:t>
            </w:r>
          </w:p>
          <w:p w14:paraId="5923303F"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о вреде употребления алкогольной продукции;</w:t>
            </w:r>
          </w:p>
          <w:p w14:paraId="35FEBD93"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о запрете реализации алкогольной продукции несовершеннолетним, причем оба текста должны быть выполнены шрифтом (шрифтами) одинакового размера и в совокупности занимать не менее 10 процентов рекламной площади. Цвет текста предупреждения должен быть контрастным по отношению к цвету фона предупреждения.</w:t>
            </w:r>
          </w:p>
          <w:p w14:paraId="08BB7E5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3. Реклама медикаментов, изделий медицинского назначения, медицинской техники при отсутствии разрешения на их производство и (или) реализацию, а также реклама методов лечения, профилактики, диагностики, реабилитации при отсутствии разрешения на оказание таких услуг, выдаваемого Министерством здравоохранения Кыргызской Республики, не допускаются, даже в случаях получения патента на изобретение.</w:t>
            </w:r>
          </w:p>
          <w:p w14:paraId="1BEA32C3"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Реклама лекарственных средств, отпускаемых по рецепту врача, а также реклама изделий медицинского назначения и медицинской техники, использование которых требует специальной подготовки, допускаются с учетом требований, предусмотренных абзацем первым настоящей части, только в печатных изданиях, предназначенных для медицинских и фармацевтических работников.</w:t>
            </w:r>
          </w:p>
          <w:p w14:paraId="02AA18F1"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4. Не допускается реклама всех видов оружия, вооружения и военной техники, за исключением рекламы боевого и служебного оружия, вооружения и военной техники, внесенных в перечень продукции военного назначения, экспорт и импорт которой в Кыргызской Республике осуществляются по лицензиям, а также разрешенного гражданского оружия, в том числе охотничьего и спортивного.</w:t>
            </w:r>
          </w:p>
          <w:p w14:paraId="528B8E92"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Не допускается реклама разрешенного гражданского оружия, вооружения и военной техники, внесенных в перечень продукции военного назначения, экспорт и импорт которой в Кыргызской Республике осуществляются по лицензиям, если указанная реклама прямо или косвенно раскрывает технологию производства, способы боевого и специального применения оружия, вооружения и военной техники.</w:t>
            </w:r>
          </w:p>
          <w:p w14:paraId="4EE959A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Распространение рекламы разрешенного гражданского оружия, в том числе охотничьего и спортивного, допускается только в периодических печатных изданиях, специализирующихся на распространении рекламы, а также в иных периодических печатных изданиях, предназначенных для пользователей разрешенного гражданского оружия, и в местах применения охотничьего и спортивного оружия.</w:t>
            </w:r>
          </w:p>
          <w:p w14:paraId="69210148"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Распространение рекламы разрешенного гражданского оружия в электронных средствах массовой информации не допускается.</w:t>
            </w:r>
          </w:p>
          <w:p w14:paraId="323B080A"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Реклама боевого и служебного оружия, а также вооружения и военной техники, внесенных в перечень продукции военного назначения, экспорт и импорт которой в Кыргызской Республике осуществляются по лицензиям, допускается только в порядке, установленном законодательством Кыргызской Республики, а также на специализированных выставках или на ярмарках-продажах, проводимых в порядке, установленном Правительством Кыргызской Республики.</w:t>
            </w:r>
          </w:p>
          <w:p w14:paraId="1DB03C28"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5. Запрещается:</w:t>
            </w:r>
          </w:p>
          <w:p w14:paraId="0D0079D0"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передача в дар и распространение любых информационных и образовательных материалов по идеализации потребления продуктов и средств для искусственного питания детей;</w:t>
            </w:r>
          </w:p>
          <w:p w14:paraId="664DEBA3"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спонсирование мероприятий, предназначенных для беременных и кормящих женщин, работников здравоохранения и других лиц, имеющих отношение к продуктам питания детей, в особенности младенцев и детей младшего возраста, если при этом используются название, изображение или товарный знак производителей продуктов и средств для искусственного питания детей;</w:t>
            </w:r>
          </w:p>
          <w:p w14:paraId="5655CC91"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распространение, в том числе продажа широкому кругу лиц товаров, не имеющих отношения к процессу питания детей (футболки, головные уборы, игрушки, зонты, сумки и т.п.), на внешнюю сторону которых нанесены названия или изображения продуктов и средств для искусственного питания детей;</w:t>
            </w:r>
          </w:p>
          <w:p w14:paraId="3495B649"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иные виды деятельности, прямо или косвенно направленные на поощрение покупки или использование продуктов и средств для искусственного питания детей;</w:t>
            </w:r>
          </w:p>
          <w:p w14:paraId="6E7EDFAA"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распространение рекламы, основанной на риске игр и взаимных пари их организаторов, участников и посредников, в том числе игорных заведений, таких как букмекерские конторы и тотализаторы (реклама игорного бизнеса).</w:t>
            </w:r>
          </w:p>
          <w:p w14:paraId="14577219" w14:textId="77777777" w:rsidR="00D708F6" w:rsidRPr="00D152FE" w:rsidRDefault="00D708F6" w:rsidP="00D708F6">
            <w:pPr>
              <w:pStyle w:val="tkTekst"/>
              <w:rPr>
                <w:rFonts w:ascii="Times New Roman" w:hAnsi="Times New Roman" w:cs="Times New Roman"/>
                <w:sz w:val="24"/>
                <w:szCs w:val="24"/>
              </w:rPr>
            </w:pPr>
          </w:p>
        </w:tc>
        <w:tc>
          <w:tcPr>
            <w:tcW w:w="7280" w:type="dxa"/>
            <w:gridSpan w:val="2"/>
          </w:tcPr>
          <w:p w14:paraId="79C0EDF0" w14:textId="77777777" w:rsidR="00D708F6" w:rsidRPr="00D152FE" w:rsidRDefault="00D708F6" w:rsidP="00D708F6">
            <w:pPr>
              <w:pStyle w:val="tkZagolovok5"/>
              <w:rPr>
                <w:rFonts w:ascii="Times New Roman" w:hAnsi="Times New Roman" w:cs="Times New Roman"/>
                <w:sz w:val="24"/>
                <w:szCs w:val="24"/>
              </w:rPr>
            </w:pPr>
            <w:r w:rsidRPr="00D152FE">
              <w:rPr>
                <w:rFonts w:ascii="Times New Roman" w:hAnsi="Times New Roman" w:cs="Times New Roman"/>
                <w:sz w:val="24"/>
                <w:szCs w:val="24"/>
              </w:rPr>
              <w:t>Статья 16. Особенности рекламы отдельных видов товаров</w:t>
            </w:r>
          </w:p>
          <w:p w14:paraId="79750D9D"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1. Реклама алкогольной продукции, распространяемая любыми способами, не должна:</w:t>
            </w:r>
          </w:p>
          <w:p w14:paraId="1A9842F0"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распространяться в наружной рекламе;</w:t>
            </w:r>
          </w:p>
          <w:p w14:paraId="5E4CB140"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xml:space="preserve">- распространяться до, во время или после демонстрации фильмов при кино- и </w:t>
            </w:r>
            <w:proofErr w:type="spellStart"/>
            <w:r w:rsidRPr="00D152FE">
              <w:rPr>
                <w:rFonts w:ascii="Times New Roman" w:hAnsi="Times New Roman" w:cs="Times New Roman"/>
                <w:sz w:val="24"/>
                <w:szCs w:val="24"/>
              </w:rPr>
              <w:t>видеообслуживании</w:t>
            </w:r>
            <w:proofErr w:type="spellEnd"/>
            <w:r w:rsidRPr="00D152FE">
              <w:rPr>
                <w:rFonts w:ascii="Times New Roman" w:hAnsi="Times New Roman" w:cs="Times New Roman"/>
                <w:sz w:val="24"/>
                <w:szCs w:val="24"/>
              </w:rPr>
              <w:t>, если аудитория такого обслуживания не ограничена лицами, достигшими совершеннолетия;</w:t>
            </w:r>
          </w:p>
          <w:p w14:paraId="3F38C9B4"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содержать демонстрацию процессов потребления алкогольной продукции и создавать впечатление, что употребление алкогольной продукции имеет важное значение для достижения общественного, спортивного или личного успеха либо улучшения физического или психического состояния;</w:t>
            </w:r>
          </w:p>
          <w:p w14:paraId="009ED5FC"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дискредитировать воздержание от употребления алкогольной продукции, содержать информацию о положительных терапевтических свойствах алкогольной продукции и представлять их высокое содержание в продукте как достоинство;</w:t>
            </w:r>
          </w:p>
          <w:p w14:paraId="6883E4FC"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обращаться непосредственно к несовершеннолетним, использовать образы лиц в возрасте до 35 лет, а также высказывания или участие лиц, пользующихся популярностью у лиц в возрасте до 21 года;</w:t>
            </w:r>
          </w:p>
          <w:p w14:paraId="26F4797B"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xml:space="preserve">- распространяться в радио- и телепередачах, при кино- и </w:t>
            </w:r>
            <w:proofErr w:type="spellStart"/>
            <w:r w:rsidRPr="00D152FE">
              <w:rPr>
                <w:rFonts w:ascii="Times New Roman" w:hAnsi="Times New Roman" w:cs="Times New Roman"/>
                <w:sz w:val="24"/>
                <w:szCs w:val="24"/>
              </w:rPr>
              <w:t>видеообслуживании</w:t>
            </w:r>
            <w:proofErr w:type="spellEnd"/>
            <w:r w:rsidRPr="00D152FE">
              <w:rPr>
                <w:rFonts w:ascii="Times New Roman" w:hAnsi="Times New Roman" w:cs="Times New Roman"/>
                <w:sz w:val="24"/>
                <w:szCs w:val="24"/>
              </w:rPr>
              <w:t>, в печатных изданиях для несовершеннолетних;</w:t>
            </w:r>
          </w:p>
          <w:p w14:paraId="0BE53223"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распространяться на первой и последней полосах газет, а также на первой и последней страницах и обложках журналов;</w:t>
            </w:r>
          </w:p>
          <w:p w14:paraId="72C12302"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распространяться в общественном транспорте, в государственных, детских, учебных, медицинских, спортивных, культурных организациях, скверах и на площадях городов, а также на объектах, расположенных не менее чем в 200 метрах от них;</w:t>
            </w:r>
          </w:p>
          <w:p w14:paraId="7668E9B3"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приводить информацию о характеристике рекламируемого товара, содержащую сведения о составе и способе изготовления, вкусовых свойствах, и при этом сообщать, что рекламируемый товар менее вреден (безвреден);</w:t>
            </w:r>
          </w:p>
          <w:p w14:paraId="31DA8079"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использовать людей, животных, их любые образы, в том числе кукольные, мультипликационные, компьютерные;</w:t>
            </w:r>
          </w:p>
          <w:p w14:paraId="267F72F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использовать тенты, шатры, зонты (в том числе сезонные), на внешнюю сторону которых нанесены названия алкогольной продукции и (или) табачных изделий;</w:t>
            </w:r>
          </w:p>
          <w:p w14:paraId="0269E20C"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использовать термины, применяемые в области медицины;</w:t>
            </w:r>
          </w:p>
          <w:p w14:paraId="33118CF3"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использовать товарные знаки, торговые марки, "бренды", зонтичные "бренды", известные ранее наименования алкогольной продукции.</w:t>
            </w:r>
          </w:p>
          <w:p w14:paraId="43590EA9"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Запрещается:</w:t>
            </w:r>
          </w:p>
          <w:p w14:paraId="4A9445B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безвозмездное распространение и (или) продажа за символическую плату образцов алкогольной продукции в целях рекламы в общественных местах, в том числе среди несовершеннолетних, а также в местах, вход в которые несовершеннолетним лицам не запрещен;</w:t>
            </w:r>
          </w:p>
          <w:p w14:paraId="35430234"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спонсирование мероприятий, предназначенных преимущественно для несовершеннолетних, если при этом используются название, изображение или товарный знак производителей алкогольной продукции;</w:t>
            </w:r>
          </w:p>
          <w:p w14:paraId="66B84960"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распространение, в том числе продажа, широкому кругу лиц товаров, не имеющих отношения к процессу потребления алкогольной продукции (футболки, головные уборы, зонты, сумки), на внешнюю сторону которых нанесены названия или изображения алкогольной продукции. Исключение составляют пепельницы, зажигалки, коробки спичек, подносы, посуда, предназначенная для алкогольной продукции, на внешнюю сторону которых нанесены названия или изображения алкогольных изделий и (или) товарных знаков и логотипов, в барах, ресторанах, кафе, гостиницах и других подобных заведениях, а также транспортные средства, используемые для распространения алкогольной продукции и розничной торговли ими. Предупреждение о вреде употребления алкогольной продукции на таких предметах не требуется;</w:t>
            </w:r>
          </w:p>
          <w:p w14:paraId="46E3C277"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реклама алкогольной продукции в информационно-телекоммуникационной сети Интернет.</w:t>
            </w:r>
          </w:p>
          <w:p w14:paraId="2AA819DC"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Реклама алкогольной продукции на радио и телевидении с 7-00 до 24-00 часов запрещается.</w:t>
            </w:r>
          </w:p>
          <w:p w14:paraId="0DF4E378"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2. Распространение рекламы алкогольной продукции должно сопровождаться текстами, предупреждающими:</w:t>
            </w:r>
          </w:p>
          <w:p w14:paraId="06C71E3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о вреде употребления алкогольной продукции;</w:t>
            </w:r>
          </w:p>
          <w:p w14:paraId="1FDE7FCB"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о запрете реализации алкогольной продукции несовершеннолетним, причем оба текста должны быть выполнены шрифтом (шрифтами) одинакового размера и в совокупности занимать не менее 10 процентов рекламной площади. Цвет текста предупреждения должен быть контрастным по отношению к цвету фона предупреждения.</w:t>
            </w:r>
          </w:p>
          <w:p w14:paraId="35D94C7D"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3. Реклама медикаментов, изделий медицинского назначения, медицинской техники при отсутствии разрешения на их производство и (или) реализацию, а также реклама методов лечения, профилактики, диагностики, реабилитации при отсутствии разрешения на оказание таких услуг, выдаваемого Министерством здравоохранения Кыргызской Республики, не допускаются, даже в случаях получения патента на изобретение.</w:t>
            </w:r>
          </w:p>
          <w:p w14:paraId="6C5824A9"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Реклама лекарственных средств, отпускаемых по рецепту врача, а также реклама изделий медицинского назначения и медицинской техники, использование которых требует специальной подготовки, допускаются с учетом требований, предусмотренных абзацем первым настоящей части, только в печатных изданиях, предназначенных для медицинских и фармацевтических работников.</w:t>
            </w:r>
          </w:p>
          <w:p w14:paraId="0C834BA7"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4. Не допускается реклама всех видов оружия, вооружения и военной техники, за исключением рекламы боевого и служебного оружия, вооружения и военной техники, внесенных в перечень продукции военного назначения, экспорт и импорт которой в Кыргызской Республике осуществляются по лицензиям, а также разрешенного гражданского оружия, в том числе охотничьего и спортивного.</w:t>
            </w:r>
          </w:p>
          <w:p w14:paraId="23F9FAA5"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Не допускается реклама разрешенного гражданского оружия, вооружения и военной техники, внесенных в перечень продукции военного назначения, экспорт и импорт которой в Кыргызской Республике осуществляются по лицензиям, если указанная реклама прямо или косвенно раскрывает технологию производства, способы боевого и специального применения оружия, вооружения и военной техники.</w:t>
            </w:r>
          </w:p>
          <w:p w14:paraId="48114F87"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Распространение рекламы разрешенного гражданского оружия, в том числе охотничьего и спортивного, допускается только в периодических печатных изданиях, специализирующихся на распространении рекламы, а также в иных периодических печатных изданиях, предназначенных для пользователей разрешенного гражданского оружия, и в местах применения охотничьего и спортивного оружия.</w:t>
            </w:r>
          </w:p>
          <w:p w14:paraId="5B24C1BD"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Распространение рекламы разрешенного гражданского оружия в электронных средствах массовой информации не допускается.</w:t>
            </w:r>
          </w:p>
          <w:p w14:paraId="2C294561"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Реклама боевого и служебного оружия, а также вооружения и военной техники, внесенных в перечень продукции военного назначения, экспорт и импорт которой в Кыргызской Республике осуществляются по лицензиям, допускается только в порядке, установленном законодательством Кыргызской Республики, а также на специализированных выставках или на ярмарках-продажах, проводимых в порядке, установленном Правительством Кыргызской Республики.</w:t>
            </w:r>
          </w:p>
          <w:p w14:paraId="46576C49"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5. Запрещается:</w:t>
            </w:r>
          </w:p>
          <w:p w14:paraId="22E20264"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передача в дар и распространение любых информационных и образовательных материалов по идеализации потребления продуктов и средств для искусственного питания детей;</w:t>
            </w:r>
          </w:p>
          <w:p w14:paraId="53826FF2"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спонсирование мероприятий, предназначенных для беременных и кормящих женщин, работников здравоохранения и других лиц, имеющих отношение к продуктам питания детей, в особенности младенцев и детей младшего возраста, если при этом используются название, изображение или товарный знак производителей продуктов и средств для искусственного питания детей;</w:t>
            </w:r>
          </w:p>
          <w:p w14:paraId="4E0D8AE7"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распространение, в том числе продажа широкому кругу лиц товаров, не имеющих отношения к процессу питания детей (футболки, головные уборы, игрушки, зонты, сумки и т.п.), на внешнюю сторону которых нанесены названия или изображения продуктов и средств для искусственного питания детей;</w:t>
            </w:r>
          </w:p>
          <w:p w14:paraId="7896A0A6" w14:textId="77777777" w:rsidR="00D708F6" w:rsidRPr="00D152FE" w:rsidRDefault="00D708F6" w:rsidP="00D708F6">
            <w:pPr>
              <w:pStyle w:val="tkTekst"/>
              <w:rPr>
                <w:rFonts w:ascii="Times New Roman" w:hAnsi="Times New Roman" w:cs="Times New Roman"/>
                <w:sz w:val="24"/>
                <w:szCs w:val="24"/>
              </w:rPr>
            </w:pPr>
            <w:r w:rsidRPr="00D152FE">
              <w:rPr>
                <w:rFonts w:ascii="Times New Roman" w:hAnsi="Times New Roman" w:cs="Times New Roman"/>
                <w:sz w:val="24"/>
                <w:szCs w:val="24"/>
              </w:rPr>
              <w:t>- иные виды деятельности, прямо или косвенно направленные на поощрение покупки или использование продуктов и средств для искусственного питания детей;</w:t>
            </w:r>
          </w:p>
          <w:p w14:paraId="459DED40" w14:textId="77777777" w:rsidR="00D708F6" w:rsidRPr="00D152FE" w:rsidRDefault="00D708F6" w:rsidP="00D708F6">
            <w:pPr>
              <w:pStyle w:val="tkTekst"/>
              <w:rPr>
                <w:rFonts w:ascii="Times New Roman" w:hAnsi="Times New Roman" w:cs="Times New Roman"/>
                <w:b/>
                <w:strike/>
                <w:sz w:val="24"/>
                <w:szCs w:val="24"/>
              </w:rPr>
            </w:pPr>
            <w:r w:rsidRPr="00D152FE">
              <w:rPr>
                <w:rFonts w:ascii="Times New Roman" w:hAnsi="Times New Roman" w:cs="Times New Roman"/>
                <w:b/>
                <w:strike/>
                <w:sz w:val="24"/>
                <w:szCs w:val="24"/>
              </w:rPr>
              <w:t>- распространение рекламы, основанной на риске игр и взаимных пари их организаторов, участников и посредников, в том числе игорных заведений, таких как букмекерские конторы и тотализаторы (реклама игорного бизнеса)</w:t>
            </w:r>
            <w:r>
              <w:rPr>
                <w:rFonts w:ascii="Times New Roman" w:hAnsi="Times New Roman" w:cs="Times New Roman"/>
                <w:b/>
                <w:strike/>
                <w:sz w:val="24"/>
                <w:szCs w:val="24"/>
              </w:rPr>
              <w:t>.</w:t>
            </w:r>
          </w:p>
        </w:tc>
      </w:tr>
    </w:tbl>
    <w:p w14:paraId="50AF891A" w14:textId="77777777" w:rsidR="006C5992" w:rsidRPr="00D152FE" w:rsidRDefault="006C5992" w:rsidP="006C5992">
      <w:pPr>
        <w:pStyle w:val="a3"/>
        <w:ind w:right="298" w:firstLine="851"/>
        <w:rPr>
          <w:sz w:val="24"/>
          <w:szCs w:val="24"/>
          <w:lang w:val="ru-RU"/>
        </w:rPr>
      </w:pPr>
    </w:p>
    <w:sectPr w:rsidR="006C5992" w:rsidRPr="00D152FE" w:rsidSect="00AE46A8">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EAF"/>
    <w:rsid w:val="000542AA"/>
    <w:rsid w:val="000E0F2A"/>
    <w:rsid w:val="0011040C"/>
    <w:rsid w:val="001677D5"/>
    <w:rsid w:val="00197E84"/>
    <w:rsid w:val="00252151"/>
    <w:rsid w:val="002B294C"/>
    <w:rsid w:val="002B7EAF"/>
    <w:rsid w:val="003E0FB2"/>
    <w:rsid w:val="004015C3"/>
    <w:rsid w:val="00407DCA"/>
    <w:rsid w:val="00593940"/>
    <w:rsid w:val="00675789"/>
    <w:rsid w:val="006C5992"/>
    <w:rsid w:val="007B0455"/>
    <w:rsid w:val="007E1C8B"/>
    <w:rsid w:val="008E520F"/>
    <w:rsid w:val="00A17CBB"/>
    <w:rsid w:val="00AC7B49"/>
    <w:rsid w:val="00AE46A8"/>
    <w:rsid w:val="00C334D4"/>
    <w:rsid w:val="00C35F49"/>
    <w:rsid w:val="00D152FE"/>
    <w:rsid w:val="00D414FE"/>
    <w:rsid w:val="00D708F6"/>
    <w:rsid w:val="00E54204"/>
    <w:rsid w:val="00F37EA6"/>
    <w:rsid w:val="00F425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B53CB"/>
  <w15:chartTrackingRefBased/>
  <w15:docId w15:val="{7558AF78-67E4-4CE4-9DFB-ADE5C6CDA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7EA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77D5"/>
    <w:pPr>
      <w:spacing w:line="240" w:lineRule="auto"/>
      <w:ind w:right="418" w:firstLine="459"/>
      <w:jc w:val="both"/>
    </w:pPr>
    <w:rPr>
      <w:rFonts w:eastAsia="Times New Roman" w:cs="Times New Roman"/>
      <w:color w:val="000000"/>
      <w:sz w:val="20"/>
      <w:lang w:val="en-US"/>
    </w:rPr>
  </w:style>
  <w:style w:type="table" w:styleId="a4">
    <w:name w:val="Table Grid"/>
    <w:basedOn w:val="a1"/>
    <w:uiPriority w:val="59"/>
    <w:rsid w:val="001677D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1677D5"/>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677D5"/>
    <w:pPr>
      <w:spacing w:after="60"/>
      <w:ind w:firstLine="567"/>
      <w:jc w:val="both"/>
    </w:pPr>
    <w:rPr>
      <w:rFonts w:ascii="Arial" w:eastAsia="Times New Roman" w:hAnsi="Arial" w:cs="Arial"/>
      <w:sz w:val="20"/>
      <w:szCs w:val="20"/>
      <w:lang w:eastAsia="ru-RU"/>
    </w:rPr>
  </w:style>
  <w:style w:type="character" w:styleId="a5">
    <w:name w:val="Hyperlink"/>
    <w:basedOn w:val="a0"/>
    <w:uiPriority w:val="99"/>
    <w:semiHidden/>
    <w:unhideWhenUsed/>
    <w:rsid w:val="006C5992"/>
    <w:rPr>
      <w:color w:val="0000FF"/>
      <w:u w:val="single"/>
    </w:rPr>
  </w:style>
  <w:style w:type="paragraph" w:customStyle="1" w:styleId="tkZagolovok3">
    <w:name w:val="_Заголовок Глава (tkZagolovok3)"/>
    <w:basedOn w:val="a"/>
    <w:rsid w:val="006C5992"/>
    <w:pPr>
      <w:spacing w:before="200" w:after="200"/>
      <w:ind w:left="1134" w:right="1134"/>
      <w:jc w:val="center"/>
    </w:pPr>
    <w:rPr>
      <w:rFonts w:ascii="Arial" w:eastAsia="Times New Roman" w:hAnsi="Arial" w:cs="Arial"/>
      <w:b/>
      <w:bCs/>
      <w:szCs w:val="24"/>
      <w:lang w:eastAsia="ru-RU"/>
    </w:rPr>
  </w:style>
  <w:style w:type="paragraph" w:customStyle="1" w:styleId="tkRedakcijaTekst">
    <w:name w:val="_В редакции текст (tkRedakcijaTekst)"/>
    <w:basedOn w:val="a"/>
    <w:rsid w:val="003E0FB2"/>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3E0FB2"/>
    <w:pPr>
      <w:spacing w:after="60"/>
      <w:ind w:firstLine="567"/>
      <w:jc w:val="both"/>
    </w:pPr>
    <w:rPr>
      <w:rFonts w:ascii="Arial" w:eastAsia="Times New Roman" w:hAnsi="Arial" w:cs="Arial"/>
      <w:i/>
      <w:iCs/>
      <w:color w:val="006600"/>
      <w:sz w:val="20"/>
      <w:szCs w:val="20"/>
      <w:lang w:eastAsia="ru-RU"/>
    </w:rPr>
  </w:style>
  <w:style w:type="paragraph" w:styleId="a6">
    <w:name w:val="Balloon Text"/>
    <w:basedOn w:val="a"/>
    <w:link w:val="a7"/>
    <w:uiPriority w:val="99"/>
    <w:semiHidden/>
    <w:unhideWhenUsed/>
    <w:rsid w:val="00675789"/>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757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56573">
      <w:bodyDiv w:val="1"/>
      <w:marLeft w:val="0"/>
      <w:marRight w:val="0"/>
      <w:marTop w:val="0"/>
      <w:marBottom w:val="0"/>
      <w:divBdr>
        <w:top w:val="none" w:sz="0" w:space="0" w:color="auto"/>
        <w:left w:val="none" w:sz="0" w:space="0" w:color="auto"/>
        <w:bottom w:val="none" w:sz="0" w:space="0" w:color="auto"/>
        <w:right w:val="none" w:sz="0" w:space="0" w:color="auto"/>
      </w:divBdr>
    </w:div>
    <w:div w:id="275019350">
      <w:bodyDiv w:val="1"/>
      <w:marLeft w:val="0"/>
      <w:marRight w:val="0"/>
      <w:marTop w:val="0"/>
      <w:marBottom w:val="0"/>
      <w:divBdr>
        <w:top w:val="none" w:sz="0" w:space="0" w:color="auto"/>
        <w:left w:val="none" w:sz="0" w:space="0" w:color="auto"/>
        <w:bottom w:val="none" w:sz="0" w:space="0" w:color="auto"/>
        <w:right w:val="none" w:sz="0" w:space="0" w:color="auto"/>
      </w:divBdr>
    </w:div>
    <w:div w:id="403840600">
      <w:bodyDiv w:val="1"/>
      <w:marLeft w:val="0"/>
      <w:marRight w:val="0"/>
      <w:marTop w:val="0"/>
      <w:marBottom w:val="0"/>
      <w:divBdr>
        <w:top w:val="none" w:sz="0" w:space="0" w:color="auto"/>
        <w:left w:val="none" w:sz="0" w:space="0" w:color="auto"/>
        <w:bottom w:val="none" w:sz="0" w:space="0" w:color="auto"/>
        <w:right w:val="none" w:sz="0" w:space="0" w:color="auto"/>
      </w:divBdr>
    </w:div>
    <w:div w:id="437413074">
      <w:bodyDiv w:val="1"/>
      <w:marLeft w:val="0"/>
      <w:marRight w:val="0"/>
      <w:marTop w:val="0"/>
      <w:marBottom w:val="0"/>
      <w:divBdr>
        <w:top w:val="none" w:sz="0" w:space="0" w:color="auto"/>
        <w:left w:val="none" w:sz="0" w:space="0" w:color="auto"/>
        <w:bottom w:val="none" w:sz="0" w:space="0" w:color="auto"/>
        <w:right w:val="none" w:sz="0" w:space="0" w:color="auto"/>
      </w:divBdr>
    </w:div>
    <w:div w:id="642539636">
      <w:bodyDiv w:val="1"/>
      <w:marLeft w:val="0"/>
      <w:marRight w:val="0"/>
      <w:marTop w:val="0"/>
      <w:marBottom w:val="0"/>
      <w:divBdr>
        <w:top w:val="none" w:sz="0" w:space="0" w:color="auto"/>
        <w:left w:val="none" w:sz="0" w:space="0" w:color="auto"/>
        <w:bottom w:val="none" w:sz="0" w:space="0" w:color="auto"/>
        <w:right w:val="none" w:sz="0" w:space="0" w:color="auto"/>
      </w:divBdr>
    </w:div>
    <w:div w:id="746419949">
      <w:bodyDiv w:val="1"/>
      <w:marLeft w:val="0"/>
      <w:marRight w:val="0"/>
      <w:marTop w:val="0"/>
      <w:marBottom w:val="0"/>
      <w:divBdr>
        <w:top w:val="none" w:sz="0" w:space="0" w:color="auto"/>
        <w:left w:val="none" w:sz="0" w:space="0" w:color="auto"/>
        <w:bottom w:val="none" w:sz="0" w:space="0" w:color="auto"/>
        <w:right w:val="none" w:sz="0" w:space="0" w:color="auto"/>
      </w:divBdr>
    </w:div>
    <w:div w:id="919100900">
      <w:bodyDiv w:val="1"/>
      <w:marLeft w:val="0"/>
      <w:marRight w:val="0"/>
      <w:marTop w:val="0"/>
      <w:marBottom w:val="0"/>
      <w:divBdr>
        <w:top w:val="none" w:sz="0" w:space="0" w:color="auto"/>
        <w:left w:val="none" w:sz="0" w:space="0" w:color="auto"/>
        <w:bottom w:val="none" w:sz="0" w:space="0" w:color="auto"/>
        <w:right w:val="none" w:sz="0" w:space="0" w:color="auto"/>
      </w:divBdr>
    </w:div>
    <w:div w:id="959844682">
      <w:bodyDiv w:val="1"/>
      <w:marLeft w:val="0"/>
      <w:marRight w:val="0"/>
      <w:marTop w:val="0"/>
      <w:marBottom w:val="0"/>
      <w:divBdr>
        <w:top w:val="none" w:sz="0" w:space="0" w:color="auto"/>
        <w:left w:val="none" w:sz="0" w:space="0" w:color="auto"/>
        <w:bottom w:val="none" w:sz="0" w:space="0" w:color="auto"/>
        <w:right w:val="none" w:sz="0" w:space="0" w:color="auto"/>
      </w:divBdr>
    </w:div>
    <w:div w:id="963464393">
      <w:bodyDiv w:val="1"/>
      <w:marLeft w:val="0"/>
      <w:marRight w:val="0"/>
      <w:marTop w:val="0"/>
      <w:marBottom w:val="0"/>
      <w:divBdr>
        <w:top w:val="none" w:sz="0" w:space="0" w:color="auto"/>
        <w:left w:val="none" w:sz="0" w:space="0" w:color="auto"/>
        <w:bottom w:val="none" w:sz="0" w:space="0" w:color="auto"/>
        <w:right w:val="none" w:sz="0" w:space="0" w:color="auto"/>
      </w:divBdr>
    </w:div>
    <w:div w:id="987594034">
      <w:bodyDiv w:val="1"/>
      <w:marLeft w:val="0"/>
      <w:marRight w:val="0"/>
      <w:marTop w:val="0"/>
      <w:marBottom w:val="0"/>
      <w:divBdr>
        <w:top w:val="none" w:sz="0" w:space="0" w:color="auto"/>
        <w:left w:val="none" w:sz="0" w:space="0" w:color="auto"/>
        <w:bottom w:val="none" w:sz="0" w:space="0" w:color="auto"/>
        <w:right w:val="none" w:sz="0" w:space="0" w:color="auto"/>
      </w:divBdr>
    </w:div>
    <w:div w:id="1157308502">
      <w:bodyDiv w:val="1"/>
      <w:marLeft w:val="0"/>
      <w:marRight w:val="0"/>
      <w:marTop w:val="0"/>
      <w:marBottom w:val="0"/>
      <w:divBdr>
        <w:top w:val="none" w:sz="0" w:space="0" w:color="auto"/>
        <w:left w:val="none" w:sz="0" w:space="0" w:color="auto"/>
        <w:bottom w:val="none" w:sz="0" w:space="0" w:color="auto"/>
        <w:right w:val="none" w:sz="0" w:space="0" w:color="auto"/>
      </w:divBdr>
    </w:div>
    <w:div w:id="1400640737">
      <w:bodyDiv w:val="1"/>
      <w:marLeft w:val="0"/>
      <w:marRight w:val="0"/>
      <w:marTop w:val="0"/>
      <w:marBottom w:val="0"/>
      <w:divBdr>
        <w:top w:val="none" w:sz="0" w:space="0" w:color="auto"/>
        <w:left w:val="none" w:sz="0" w:space="0" w:color="auto"/>
        <w:bottom w:val="none" w:sz="0" w:space="0" w:color="auto"/>
        <w:right w:val="none" w:sz="0" w:space="0" w:color="auto"/>
      </w:divBdr>
    </w:div>
    <w:div w:id="1448696654">
      <w:bodyDiv w:val="1"/>
      <w:marLeft w:val="0"/>
      <w:marRight w:val="0"/>
      <w:marTop w:val="0"/>
      <w:marBottom w:val="0"/>
      <w:divBdr>
        <w:top w:val="none" w:sz="0" w:space="0" w:color="auto"/>
        <w:left w:val="none" w:sz="0" w:space="0" w:color="auto"/>
        <w:bottom w:val="none" w:sz="0" w:space="0" w:color="auto"/>
        <w:right w:val="none" w:sz="0" w:space="0" w:color="auto"/>
      </w:divBdr>
    </w:div>
    <w:div w:id="1504583911">
      <w:bodyDiv w:val="1"/>
      <w:marLeft w:val="0"/>
      <w:marRight w:val="0"/>
      <w:marTop w:val="0"/>
      <w:marBottom w:val="0"/>
      <w:divBdr>
        <w:top w:val="none" w:sz="0" w:space="0" w:color="auto"/>
        <w:left w:val="none" w:sz="0" w:space="0" w:color="auto"/>
        <w:bottom w:val="none" w:sz="0" w:space="0" w:color="auto"/>
        <w:right w:val="none" w:sz="0" w:space="0" w:color="auto"/>
      </w:divBdr>
    </w:div>
    <w:div w:id="1736390435">
      <w:bodyDiv w:val="1"/>
      <w:marLeft w:val="0"/>
      <w:marRight w:val="0"/>
      <w:marTop w:val="0"/>
      <w:marBottom w:val="0"/>
      <w:divBdr>
        <w:top w:val="none" w:sz="0" w:space="0" w:color="auto"/>
        <w:left w:val="none" w:sz="0" w:space="0" w:color="auto"/>
        <w:bottom w:val="none" w:sz="0" w:space="0" w:color="auto"/>
        <w:right w:val="none" w:sz="0" w:space="0" w:color="auto"/>
      </w:divBdr>
    </w:div>
    <w:div w:id="1790971049">
      <w:bodyDiv w:val="1"/>
      <w:marLeft w:val="0"/>
      <w:marRight w:val="0"/>
      <w:marTop w:val="0"/>
      <w:marBottom w:val="0"/>
      <w:divBdr>
        <w:top w:val="none" w:sz="0" w:space="0" w:color="auto"/>
        <w:left w:val="none" w:sz="0" w:space="0" w:color="auto"/>
        <w:bottom w:val="none" w:sz="0" w:space="0" w:color="auto"/>
        <w:right w:val="none" w:sz="0" w:space="0" w:color="auto"/>
      </w:divBdr>
    </w:div>
    <w:div w:id="1793209807">
      <w:bodyDiv w:val="1"/>
      <w:marLeft w:val="0"/>
      <w:marRight w:val="0"/>
      <w:marTop w:val="0"/>
      <w:marBottom w:val="0"/>
      <w:divBdr>
        <w:top w:val="none" w:sz="0" w:space="0" w:color="auto"/>
        <w:left w:val="none" w:sz="0" w:space="0" w:color="auto"/>
        <w:bottom w:val="none" w:sz="0" w:space="0" w:color="auto"/>
        <w:right w:val="none" w:sz="0" w:space="0" w:color="auto"/>
      </w:divBdr>
    </w:div>
    <w:div w:id="197744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28782" TargetMode="External"/><Relationship Id="rId13" Type="http://schemas.openxmlformats.org/officeDocument/2006/relationships/hyperlink" Target="toktom://db/128782" TargetMode="External"/><Relationship Id="rId3" Type="http://schemas.openxmlformats.org/officeDocument/2006/relationships/webSettings" Target="webSettings.xml"/><Relationship Id="rId7" Type="http://schemas.openxmlformats.org/officeDocument/2006/relationships/hyperlink" Target="file:///C:\Users\user\AppData\Local\Temp\Toktom\0bcb8656-b5d6-42d2-a0d3-435a4ac7ade2\document.htm" TargetMode="External"/><Relationship Id="rId12" Type="http://schemas.openxmlformats.org/officeDocument/2006/relationships/hyperlink" Target="file:///C:\Users\user\AppData\Local\Temp\Toktom\0bcb8656-b5d6-42d2-a0d3-435a4ac7ade2\document.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172115" TargetMode="External"/><Relationship Id="rId11" Type="http://schemas.openxmlformats.org/officeDocument/2006/relationships/hyperlink" Target="toktom://db/172115" TargetMode="External"/><Relationship Id="rId5" Type="http://schemas.openxmlformats.org/officeDocument/2006/relationships/hyperlink" Target="toktom://db/172115" TargetMode="External"/><Relationship Id="rId15" Type="http://schemas.openxmlformats.org/officeDocument/2006/relationships/theme" Target="theme/theme1.xml"/><Relationship Id="rId10" Type="http://schemas.openxmlformats.org/officeDocument/2006/relationships/hyperlink" Target="toktom://db/172115" TargetMode="External"/><Relationship Id="rId4" Type="http://schemas.openxmlformats.org/officeDocument/2006/relationships/hyperlink" Target="toktom://db/142026" TargetMode="External"/><Relationship Id="rId9" Type="http://schemas.openxmlformats.org/officeDocument/2006/relationships/hyperlink" Target="toktom://db/14202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4732</Words>
  <Characters>26976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Mataeva Sezimn</cp:lastModifiedBy>
  <cp:revision>6</cp:revision>
  <cp:lastPrinted>2022-03-19T11:24:00Z</cp:lastPrinted>
  <dcterms:created xsi:type="dcterms:W3CDTF">2022-03-17T11:36:00Z</dcterms:created>
  <dcterms:modified xsi:type="dcterms:W3CDTF">2022-03-19T11:29:00Z</dcterms:modified>
</cp:coreProperties>
</file>